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39A4" w14:textId="77777777" w:rsidR="00133237" w:rsidRDefault="00133237" w:rsidP="008F1A06">
      <w:r w:rsidRPr="00133237">
        <w:rPr>
          <w:noProof/>
        </w:rPr>
        <w:drawing>
          <wp:anchor distT="0" distB="0" distL="114300" distR="114300" simplePos="0" relativeHeight="251658240" behindDoc="1" locked="0" layoutInCell="1" allowOverlap="1" wp14:anchorId="2BB16C5C" wp14:editId="6511057D">
            <wp:simplePos x="0" y="0"/>
            <wp:positionH relativeFrom="column">
              <wp:posOffset>4062479</wp:posOffset>
            </wp:positionH>
            <wp:positionV relativeFrom="paragraph">
              <wp:posOffset>-340313</wp:posOffset>
            </wp:positionV>
            <wp:extent cx="1840105" cy="968195"/>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105" cy="96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9F522" w14:textId="706A28F0" w:rsidR="00133237" w:rsidRPr="00133237" w:rsidRDefault="00133237" w:rsidP="00133237">
      <w:pPr>
        <w:pStyle w:val="Default"/>
        <w:ind w:left="-426" w:right="-330"/>
      </w:pPr>
      <w:r>
        <w:rPr>
          <w:color w:val="008080"/>
          <w:sz w:val="48"/>
          <w:szCs w:val="48"/>
        </w:rPr>
        <w:br/>
      </w:r>
      <w:r w:rsidRPr="00133237">
        <w:rPr>
          <w:color w:val="008080"/>
          <w:sz w:val="48"/>
          <w:szCs w:val="48"/>
        </w:rPr>
        <w:t>Gene Technology Ministers’ Meeting</w:t>
      </w:r>
    </w:p>
    <w:p w14:paraId="74EDECBE" w14:textId="4B778A2A" w:rsidR="00133237" w:rsidRPr="00953637" w:rsidRDefault="00133237" w:rsidP="00133237">
      <w:pPr>
        <w:pStyle w:val="Default"/>
        <w:ind w:left="-426" w:right="-330"/>
        <w:rPr>
          <w:sz w:val="22"/>
          <w:szCs w:val="22"/>
        </w:rPr>
      </w:pPr>
      <w:r w:rsidRPr="2F7873E2">
        <w:rPr>
          <w:color w:val="008080"/>
        </w:rPr>
        <w:t xml:space="preserve"> </w:t>
      </w:r>
      <w:r w:rsidRPr="2F7873E2">
        <w:rPr>
          <w:color w:val="008080"/>
          <w:sz w:val="32"/>
          <w:szCs w:val="32"/>
        </w:rPr>
        <w:t xml:space="preserve">PRIORITIES </w:t>
      </w:r>
      <w:r w:rsidR="00AE58F3" w:rsidRPr="2F7873E2">
        <w:rPr>
          <w:color w:val="008080"/>
          <w:sz w:val="32"/>
          <w:szCs w:val="32"/>
        </w:rPr>
        <w:t>UNTIL 20</w:t>
      </w:r>
      <w:r w:rsidRPr="2F7873E2">
        <w:rPr>
          <w:color w:val="008080"/>
          <w:sz w:val="32"/>
          <w:szCs w:val="32"/>
        </w:rPr>
        <w:t>2</w:t>
      </w:r>
      <w:r w:rsidR="00067F16" w:rsidRPr="2F7873E2">
        <w:rPr>
          <w:color w:val="008080"/>
          <w:sz w:val="32"/>
          <w:szCs w:val="32"/>
        </w:rPr>
        <w:t>5</w:t>
      </w:r>
      <w:r>
        <w:br/>
      </w:r>
    </w:p>
    <w:p w14:paraId="6A83781B" w14:textId="4C8E2284" w:rsidR="00953637" w:rsidRDefault="001D0D15" w:rsidP="001D0D15">
      <w:pPr>
        <w:pStyle w:val="Default"/>
        <w:ind w:left="-426" w:right="-330"/>
        <w:rPr>
          <w:rFonts w:eastAsia="Arial"/>
          <w:sz w:val="22"/>
          <w:szCs w:val="22"/>
        </w:rPr>
      </w:pPr>
      <w:r w:rsidRPr="009D768C">
        <w:rPr>
          <w:rFonts w:eastAsia="Arial"/>
          <w:sz w:val="22"/>
          <w:szCs w:val="22"/>
        </w:rPr>
        <w:t xml:space="preserve">The </w:t>
      </w:r>
      <w:r>
        <w:rPr>
          <w:rFonts w:eastAsia="Arial"/>
          <w:sz w:val="22"/>
          <w:szCs w:val="22"/>
        </w:rPr>
        <w:t xml:space="preserve">following </w:t>
      </w:r>
      <w:r w:rsidRPr="009D768C">
        <w:rPr>
          <w:rFonts w:eastAsia="Arial"/>
          <w:sz w:val="22"/>
          <w:szCs w:val="22"/>
        </w:rPr>
        <w:t xml:space="preserve">priorities were agreed by all Australian Governments through the Gene Technology Ministers’ Meeting </w:t>
      </w:r>
      <w:r>
        <w:rPr>
          <w:rFonts w:eastAsia="Arial"/>
          <w:sz w:val="22"/>
          <w:szCs w:val="22"/>
        </w:rPr>
        <w:t>(</w:t>
      </w:r>
      <w:r w:rsidRPr="009D768C">
        <w:rPr>
          <w:rFonts w:eastAsia="Arial"/>
          <w:sz w:val="22"/>
          <w:szCs w:val="22"/>
        </w:rPr>
        <w:t>GTMM</w:t>
      </w:r>
      <w:r>
        <w:rPr>
          <w:rFonts w:eastAsia="Arial"/>
          <w:sz w:val="22"/>
          <w:szCs w:val="22"/>
        </w:rPr>
        <w:t>)</w:t>
      </w:r>
      <w:r w:rsidRPr="009D768C">
        <w:rPr>
          <w:rFonts w:eastAsia="Arial"/>
          <w:sz w:val="22"/>
          <w:szCs w:val="22"/>
        </w:rPr>
        <w:t xml:space="preserve"> held on 13 April 2023</w:t>
      </w:r>
      <w:r>
        <w:rPr>
          <w:rFonts w:eastAsia="Arial"/>
          <w:sz w:val="22"/>
          <w:szCs w:val="22"/>
        </w:rPr>
        <w:t xml:space="preserve">. </w:t>
      </w:r>
      <w:r w:rsidR="009D768C" w:rsidRPr="009D768C">
        <w:rPr>
          <w:rFonts w:eastAsia="Arial"/>
          <w:sz w:val="22"/>
          <w:szCs w:val="22"/>
        </w:rPr>
        <w:t xml:space="preserve">The priorities progress the recommendations made by the Third </w:t>
      </w:r>
      <w:r w:rsidR="001A6927">
        <w:rPr>
          <w:rFonts w:eastAsia="Arial"/>
          <w:sz w:val="22"/>
          <w:szCs w:val="22"/>
        </w:rPr>
        <w:t>r</w:t>
      </w:r>
      <w:r w:rsidR="001A6927" w:rsidRPr="009D768C">
        <w:rPr>
          <w:rFonts w:eastAsia="Arial"/>
          <w:sz w:val="22"/>
          <w:szCs w:val="22"/>
        </w:rPr>
        <w:t xml:space="preserve">eview </w:t>
      </w:r>
      <w:r w:rsidR="009D768C" w:rsidRPr="009D768C">
        <w:rPr>
          <w:rFonts w:eastAsia="Arial"/>
          <w:sz w:val="22"/>
          <w:szCs w:val="22"/>
        </w:rPr>
        <w:t xml:space="preserve">of the </w:t>
      </w:r>
      <w:r w:rsidR="001A6927">
        <w:rPr>
          <w:rFonts w:eastAsia="Arial"/>
          <w:sz w:val="22"/>
          <w:szCs w:val="22"/>
        </w:rPr>
        <w:t xml:space="preserve">National Gene Technology </w:t>
      </w:r>
      <w:r w:rsidR="009D768C" w:rsidRPr="009D768C">
        <w:rPr>
          <w:rFonts w:eastAsia="Arial"/>
          <w:sz w:val="22"/>
          <w:szCs w:val="22"/>
        </w:rPr>
        <w:t xml:space="preserve">Scheme </w:t>
      </w:r>
      <w:r>
        <w:rPr>
          <w:rFonts w:eastAsia="Arial"/>
          <w:sz w:val="22"/>
          <w:szCs w:val="22"/>
        </w:rPr>
        <w:t xml:space="preserve">(the Scheme) </w:t>
      </w:r>
      <w:r w:rsidR="009D768C" w:rsidRPr="009D768C">
        <w:rPr>
          <w:rFonts w:eastAsia="Arial"/>
          <w:sz w:val="22"/>
          <w:szCs w:val="22"/>
        </w:rPr>
        <w:t>and the preferred regulatory model of risk-tiering in the Decision Regulatory Impact Statement endorsed by the (GTMM) in July 2021</w:t>
      </w:r>
      <w:r>
        <w:rPr>
          <w:rFonts w:eastAsia="Arial"/>
          <w:sz w:val="22"/>
          <w:szCs w:val="22"/>
        </w:rPr>
        <w:t>.</w:t>
      </w:r>
    </w:p>
    <w:p w14:paraId="4A308BFD" w14:textId="77777777" w:rsidR="001D0D15" w:rsidRDefault="001D0D15" w:rsidP="001D0D15">
      <w:pPr>
        <w:pStyle w:val="Default"/>
        <w:ind w:left="-426" w:right="-330"/>
        <w:rPr>
          <w:rFonts w:eastAsia="Arial"/>
          <w:sz w:val="22"/>
          <w:szCs w:val="22"/>
        </w:rPr>
      </w:pPr>
    </w:p>
    <w:tbl>
      <w:tblPr>
        <w:tblStyle w:val="TableGrid"/>
        <w:tblW w:w="9802" w:type="dxa"/>
        <w:jc w:val="center"/>
        <w:tblLook w:val="04A0" w:firstRow="1" w:lastRow="0" w:firstColumn="1" w:lastColumn="0" w:noHBand="0" w:noVBand="1"/>
      </w:tblPr>
      <w:tblGrid>
        <w:gridCol w:w="9802"/>
      </w:tblGrid>
      <w:tr w:rsidR="00682D61" w14:paraId="744CEF07" w14:textId="77777777" w:rsidTr="5BF47AB1">
        <w:trPr>
          <w:trHeight w:val="123"/>
          <w:jc w:val="center"/>
        </w:trPr>
        <w:tc>
          <w:tcPr>
            <w:tcW w:w="9802" w:type="dxa"/>
            <w:shd w:val="clear" w:color="auto" w:fill="008080"/>
            <w:tcMar>
              <w:top w:w="170" w:type="dxa"/>
              <w:left w:w="425" w:type="dxa"/>
              <w:bottom w:w="170" w:type="dxa"/>
              <w:right w:w="425" w:type="dxa"/>
            </w:tcMar>
          </w:tcPr>
          <w:p w14:paraId="237C581C" w14:textId="1535E9FB" w:rsidR="00682D61" w:rsidRPr="00A63F2F" w:rsidRDefault="00953637" w:rsidP="009D768C">
            <w:pPr>
              <w:ind w:left="284" w:hanging="284"/>
              <w:rPr>
                <w:rFonts w:ascii="Arial" w:eastAsia="Arial" w:hAnsi="Arial" w:cs="Arial"/>
                <w:b/>
                <w:bCs/>
                <w:sz w:val="26"/>
                <w:szCs w:val="26"/>
              </w:rPr>
            </w:pPr>
            <w:r w:rsidRPr="00A63F2F">
              <w:rPr>
                <w:rFonts w:ascii="Arial" w:eastAsia="Arial" w:hAnsi="Arial" w:cs="Arial"/>
                <w:b/>
                <w:bCs/>
                <w:color w:val="FFFFFF" w:themeColor="background1"/>
                <w:sz w:val="26"/>
                <w:szCs w:val="26"/>
              </w:rPr>
              <w:t xml:space="preserve">1. </w:t>
            </w:r>
            <w:r w:rsidR="007B2FBE" w:rsidRPr="00A63F2F">
              <w:rPr>
                <w:rFonts w:ascii="Arial" w:eastAsia="Arial" w:hAnsi="Arial" w:cs="Arial"/>
                <w:b/>
                <w:bCs/>
                <w:color w:val="FFFFFF" w:themeColor="background1"/>
                <w:sz w:val="26"/>
                <w:szCs w:val="26"/>
              </w:rPr>
              <w:t>L</w:t>
            </w:r>
            <w:r w:rsidR="009D768C" w:rsidRPr="00A63F2F">
              <w:rPr>
                <w:rFonts w:ascii="Arial" w:eastAsia="Arial" w:hAnsi="Arial" w:cs="Arial"/>
                <w:b/>
                <w:bCs/>
                <w:color w:val="FFFFFF" w:themeColor="background1"/>
                <w:sz w:val="26"/>
                <w:szCs w:val="26"/>
              </w:rPr>
              <w:t>egislative amendments to modernise and improve the Scheme</w:t>
            </w:r>
          </w:p>
        </w:tc>
      </w:tr>
      <w:tr w:rsidR="00682D61" w14:paraId="1DD7AEA1" w14:textId="77777777" w:rsidTr="5BF47AB1">
        <w:trPr>
          <w:trHeight w:val="300"/>
          <w:jc w:val="center"/>
        </w:trPr>
        <w:tc>
          <w:tcPr>
            <w:tcW w:w="9802" w:type="dxa"/>
            <w:tcMar>
              <w:top w:w="170" w:type="dxa"/>
              <w:left w:w="425" w:type="dxa"/>
              <w:bottom w:w="170" w:type="dxa"/>
              <w:right w:w="425" w:type="dxa"/>
            </w:tcMar>
          </w:tcPr>
          <w:p w14:paraId="727C18FE" w14:textId="2E0DC1AF" w:rsidR="00682D61" w:rsidRPr="00FB7FF7" w:rsidRDefault="001D0D15" w:rsidP="00FB7FF7">
            <w:pPr>
              <w:ind w:left="-270"/>
              <w:rPr>
                <w:rFonts w:ascii="Arial" w:eastAsia="Arial" w:hAnsi="Arial" w:cs="Arial"/>
                <w:sz w:val="22"/>
                <w:szCs w:val="22"/>
              </w:rPr>
            </w:pPr>
            <w:r>
              <w:rPr>
                <w:rFonts w:ascii="Arial" w:eastAsia="Arial" w:hAnsi="Arial" w:cs="Arial"/>
                <w:sz w:val="22"/>
                <w:szCs w:val="22"/>
              </w:rPr>
              <w:t>L</w:t>
            </w:r>
            <w:r w:rsidR="009D768C" w:rsidRPr="00FB7FF7">
              <w:rPr>
                <w:rFonts w:ascii="Arial" w:eastAsia="Arial" w:hAnsi="Arial" w:cs="Arial"/>
                <w:sz w:val="22"/>
                <w:szCs w:val="22"/>
              </w:rPr>
              <w:t>egislative reforms are required to update, future proof and modernise the Scheme. The changes will ensure the Scheme reflects current best practice, is appropriately flexible and risk based in an environment where the science and inherent risks of gene technology is evolving</w:t>
            </w:r>
            <w:r w:rsidR="00FB7FF7">
              <w:rPr>
                <w:rFonts w:ascii="Arial" w:eastAsia="Arial" w:hAnsi="Arial" w:cs="Arial"/>
                <w:sz w:val="22"/>
                <w:szCs w:val="22"/>
              </w:rPr>
              <w:t>.</w:t>
            </w:r>
          </w:p>
        </w:tc>
      </w:tr>
      <w:tr w:rsidR="00682D61" w14:paraId="6B6A1220" w14:textId="77777777" w:rsidTr="5BF47AB1">
        <w:trPr>
          <w:trHeight w:val="300"/>
          <w:jc w:val="center"/>
        </w:trPr>
        <w:tc>
          <w:tcPr>
            <w:tcW w:w="9802" w:type="dxa"/>
            <w:shd w:val="clear" w:color="auto" w:fill="008080"/>
            <w:tcMar>
              <w:top w:w="170" w:type="dxa"/>
              <w:left w:w="425" w:type="dxa"/>
              <w:bottom w:w="170" w:type="dxa"/>
              <w:right w:w="425" w:type="dxa"/>
            </w:tcMar>
          </w:tcPr>
          <w:p w14:paraId="76530EC2" w14:textId="7A88BEE0" w:rsidR="00682D61" w:rsidRPr="00A63F2F" w:rsidRDefault="00953637" w:rsidP="00A63F2F">
            <w:pPr>
              <w:ind w:left="284" w:hanging="284"/>
              <w:rPr>
                <w:rFonts w:ascii="Arial" w:eastAsia="Arial" w:hAnsi="Arial" w:cs="Arial"/>
                <w:b/>
                <w:bCs/>
                <w:color w:val="FFFFFF" w:themeColor="background1"/>
                <w:sz w:val="26"/>
                <w:szCs w:val="26"/>
              </w:rPr>
            </w:pPr>
            <w:r w:rsidRPr="00A63F2F">
              <w:rPr>
                <w:rFonts w:ascii="Arial" w:eastAsia="Arial" w:hAnsi="Arial" w:cs="Arial"/>
                <w:b/>
                <w:bCs/>
                <w:color w:val="FFFFFF" w:themeColor="background1"/>
                <w:sz w:val="26"/>
                <w:szCs w:val="26"/>
              </w:rPr>
              <w:t xml:space="preserve">2. </w:t>
            </w:r>
            <w:r w:rsidR="009D768C" w:rsidRPr="00A63F2F">
              <w:rPr>
                <w:rFonts w:ascii="Arial" w:eastAsia="Arial" w:hAnsi="Arial" w:cs="Arial"/>
                <w:b/>
                <w:bCs/>
                <w:color w:val="FFFFFF" w:themeColor="background1"/>
                <w:sz w:val="26"/>
                <w:szCs w:val="26"/>
              </w:rPr>
              <w:t>Prepare for the next Review of the Scheme</w:t>
            </w:r>
          </w:p>
        </w:tc>
      </w:tr>
      <w:tr w:rsidR="00682D61" w14:paraId="0A475D9F" w14:textId="77777777" w:rsidTr="5BF47AB1">
        <w:trPr>
          <w:trHeight w:val="300"/>
          <w:jc w:val="center"/>
        </w:trPr>
        <w:tc>
          <w:tcPr>
            <w:tcW w:w="9802" w:type="dxa"/>
            <w:tcMar>
              <w:top w:w="170" w:type="dxa"/>
              <w:left w:w="425" w:type="dxa"/>
              <w:bottom w:w="170" w:type="dxa"/>
              <w:right w:w="425" w:type="dxa"/>
            </w:tcMar>
          </w:tcPr>
          <w:p w14:paraId="23443238" w14:textId="57916C59" w:rsidR="00682D61" w:rsidRPr="00DB15AB" w:rsidRDefault="009D768C" w:rsidP="00DB15AB">
            <w:pPr>
              <w:spacing w:line="259" w:lineRule="auto"/>
              <w:ind w:left="-270"/>
              <w:rPr>
                <w:rFonts w:ascii="Arial" w:eastAsia="Arial" w:hAnsi="Arial" w:cs="Arial"/>
                <w:sz w:val="22"/>
                <w:szCs w:val="22"/>
              </w:rPr>
            </w:pPr>
            <w:r w:rsidRPr="00FB7FF7">
              <w:rPr>
                <w:rFonts w:ascii="Arial" w:eastAsia="Arial" w:hAnsi="Arial" w:cs="Arial"/>
                <w:sz w:val="22"/>
                <w:szCs w:val="22"/>
              </w:rPr>
              <w:t xml:space="preserve">The </w:t>
            </w:r>
            <w:r w:rsidR="001D0D15">
              <w:rPr>
                <w:rFonts w:ascii="Arial" w:eastAsia="Arial" w:hAnsi="Arial" w:cs="Arial"/>
                <w:sz w:val="22"/>
                <w:szCs w:val="22"/>
              </w:rPr>
              <w:t xml:space="preserve">Third review of the Scheme will be completed in 2025. </w:t>
            </w:r>
            <w:r w:rsidR="00A8670F">
              <w:rPr>
                <w:rFonts w:ascii="Arial" w:eastAsia="Arial" w:hAnsi="Arial" w:cs="Arial"/>
                <w:sz w:val="22"/>
                <w:szCs w:val="22"/>
              </w:rPr>
              <w:t xml:space="preserve">Planning for the </w:t>
            </w:r>
            <w:r w:rsidR="001D0D15">
              <w:rPr>
                <w:rFonts w:ascii="Arial" w:eastAsia="Arial" w:hAnsi="Arial" w:cs="Arial"/>
                <w:sz w:val="22"/>
                <w:szCs w:val="22"/>
              </w:rPr>
              <w:t>Fourth</w:t>
            </w:r>
            <w:r w:rsidRPr="00FB7FF7">
              <w:rPr>
                <w:rFonts w:ascii="Arial" w:eastAsia="Arial" w:hAnsi="Arial" w:cs="Arial"/>
                <w:sz w:val="22"/>
                <w:szCs w:val="22"/>
              </w:rPr>
              <w:t xml:space="preserve"> review will </w:t>
            </w:r>
            <w:r w:rsidR="00A8670F">
              <w:rPr>
                <w:rFonts w:ascii="Arial" w:eastAsia="Arial" w:hAnsi="Arial" w:cs="Arial"/>
                <w:sz w:val="22"/>
                <w:szCs w:val="22"/>
              </w:rPr>
              <w:t xml:space="preserve">be undertaken to </w:t>
            </w:r>
            <w:r w:rsidRPr="00FB7FF7">
              <w:rPr>
                <w:rFonts w:ascii="Arial" w:eastAsia="Arial" w:hAnsi="Arial" w:cs="Arial"/>
                <w:sz w:val="22"/>
                <w:szCs w:val="22"/>
              </w:rPr>
              <w:t xml:space="preserve">complement the extensive legislative reforms of the </w:t>
            </w:r>
            <w:r w:rsidR="001D0D15">
              <w:rPr>
                <w:rFonts w:ascii="Arial" w:eastAsia="Arial" w:hAnsi="Arial" w:cs="Arial"/>
                <w:sz w:val="22"/>
                <w:szCs w:val="22"/>
              </w:rPr>
              <w:t xml:space="preserve">current Review </w:t>
            </w:r>
            <w:r w:rsidR="000C71DB">
              <w:rPr>
                <w:rFonts w:ascii="Arial" w:eastAsia="Arial" w:hAnsi="Arial" w:cs="Arial"/>
                <w:sz w:val="22"/>
                <w:szCs w:val="22"/>
              </w:rPr>
              <w:t>and</w:t>
            </w:r>
            <w:r w:rsidR="007B53E3">
              <w:rPr>
                <w:rFonts w:ascii="Arial" w:eastAsia="Arial" w:hAnsi="Arial" w:cs="Arial"/>
                <w:sz w:val="22"/>
                <w:szCs w:val="22"/>
              </w:rPr>
              <w:t xml:space="preserve"> aim to identify areas which require further consideration</w:t>
            </w:r>
            <w:r w:rsidRPr="00FB7FF7">
              <w:rPr>
                <w:rFonts w:ascii="Arial" w:eastAsia="Arial" w:hAnsi="Arial" w:cs="Arial"/>
                <w:sz w:val="22"/>
                <w:szCs w:val="22"/>
              </w:rPr>
              <w:t>. A review of the intergovernmental agreement will also be undertaken prior to the commencement of the next review.</w:t>
            </w:r>
          </w:p>
        </w:tc>
      </w:tr>
      <w:tr w:rsidR="00682D61" w14:paraId="0918BA32" w14:textId="77777777" w:rsidTr="00531FF7">
        <w:trPr>
          <w:trHeight w:val="300"/>
          <w:jc w:val="center"/>
        </w:trPr>
        <w:tc>
          <w:tcPr>
            <w:tcW w:w="9802" w:type="dxa"/>
            <w:tcBorders>
              <w:bottom w:val="single" w:sz="4" w:space="0" w:color="auto"/>
            </w:tcBorders>
            <w:shd w:val="clear" w:color="auto" w:fill="008080"/>
            <w:tcMar>
              <w:top w:w="170" w:type="dxa"/>
              <w:left w:w="425" w:type="dxa"/>
              <w:bottom w:w="170" w:type="dxa"/>
              <w:right w:w="425" w:type="dxa"/>
            </w:tcMar>
          </w:tcPr>
          <w:p w14:paraId="6EDF56FA" w14:textId="3AEA6737" w:rsidR="00682D61" w:rsidRPr="00A63F2F" w:rsidRDefault="00953637" w:rsidP="009D768C">
            <w:pPr>
              <w:ind w:left="284" w:hanging="284"/>
              <w:rPr>
                <w:rFonts w:ascii="Arial" w:eastAsia="Arial" w:hAnsi="Arial" w:cs="Arial"/>
                <w:b/>
                <w:bCs/>
                <w:color w:val="FFFFFF" w:themeColor="background1"/>
                <w:sz w:val="26"/>
                <w:szCs w:val="26"/>
              </w:rPr>
            </w:pPr>
            <w:r w:rsidRPr="00A63F2F">
              <w:rPr>
                <w:rFonts w:ascii="Arial" w:eastAsia="Arial" w:hAnsi="Arial" w:cs="Arial"/>
                <w:b/>
                <w:bCs/>
                <w:color w:val="FFFFFF" w:themeColor="background1"/>
                <w:sz w:val="26"/>
                <w:szCs w:val="26"/>
              </w:rPr>
              <w:t xml:space="preserve">3. </w:t>
            </w:r>
            <w:r w:rsidR="007B2FBE" w:rsidRPr="00A63F2F">
              <w:rPr>
                <w:rFonts w:ascii="Arial" w:eastAsia="Arial" w:hAnsi="Arial" w:cs="Arial"/>
                <w:b/>
                <w:bCs/>
                <w:color w:val="FFFFFF" w:themeColor="background1"/>
                <w:sz w:val="26"/>
                <w:szCs w:val="26"/>
              </w:rPr>
              <w:t>G</w:t>
            </w:r>
            <w:r w:rsidR="00FC5B3A" w:rsidRPr="00A63F2F">
              <w:rPr>
                <w:rFonts w:ascii="Arial" w:eastAsia="Arial" w:hAnsi="Arial" w:cs="Arial"/>
                <w:b/>
                <w:bCs/>
                <w:color w:val="FFFFFF" w:themeColor="background1"/>
                <w:sz w:val="26"/>
                <w:szCs w:val="26"/>
              </w:rPr>
              <w:t xml:space="preserve">uidance for </w:t>
            </w:r>
            <w:r w:rsidR="00682D61" w:rsidRPr="00A63F2F">
              <w:rPr>
                <w:rFonts w:ascii="Arial" w:eastAsia="Arial" w:hAnsi="Arial" w:cs="Arial"/>
                <w:b/>
                <w:bCs/>
                <w:color w:val="FFFFFF" w:themeColor="background1"/>
                <w:sz w:val="26"/>
                <w:szCs w:val="26"/>
              </w:rPr>
              <w:t>G</w:t>
            </w:r>
            <w:r w:rsidR="00D071C6">
              <w:rPr>
                <w:rFonts w:ascii="Arial" w:eastAsia="Arial" w:hAnsi="Arial" w:cs="Arial"/>
                <w:b/>
                <w:bCs/>
                <w:color w:val="FFFFFF" w:themeColor="background1"/>
                <w:sz w:val="26"/>
                <w:szCs w:val="26"/>
              </w:rPr>
              <w:t xml:space="preserve">enetically </w:t>
            </w:r>
            <w:r w:rsidR="00682D61" w:rsidRPr="00A63F2F">
              <w:rPr>
                <w:rFonts w:ascii="Arial" w:eastAsia="Arial" w:hAnsi="Arial" w:cs="Arial"/>
                <w:b/>
                <w:bCs/>
                <w:color w:val="FFFFFF" w:themeColor="background1"/>
                <w:sz w:val="26"/>
                <w:szCs w:val="26"/>
              </w:rPr>
              <w:t>M</w:t>
            </w:r>
            <w:r w:rsidR="00D071C6">
              <w:rPr>
                <w:rFonts w:ascii="Arial" w:eastAsia="Arial" w:hAnsi="Arial" w:cs="Arial"/>
                <w:b/>
                <w:bCs/>
                <w:color w:val="FFFFFF" w:themeColor="background1"/>
                <w:sz w:val="26"/>
                <w:szCs w:val="26"/>
              </w:rPr>
              <w:t>odified (GM)</w:t>
            </w:r>
            <w:r w:rsidR="00682D61" w:rsidRPr="00A63F2F">
              <w:rPr>
                <w:rFonts w:ascii="Arial" w:eastAsia="Arial" w:hAnsi="Arial" w:cs="Arial"/>
                <w:b/>
                <w:bCs/>
                <w:color w:val="FFFFFF" w:themeColor="background1"/>
                <w:sz w:val="26"/>
                <w:szCs w:val="26"/>
              </w:rPr>
              <w:t xml:space="preserve"> gene drive organisms</w:t>
            </w:r>
          </w:p>
        </w:tc>
      </w:tr>
      <w:tr w:rsidR="00682D61" w14:paraId="01CFFC1C" w14:textId="77777777" w:rsidTr="00531FF7">
        <w:trPr>
          <w:trHeight w:val="300"/>
          <w:jc w:val="center"/>
        </w:trPr>
        <w:tc>
          <w:tcPr>
            <w:tcW w:w="9802" w:type="dxa"/>
            <w:tcBorders>
              <w:bottom w:val="single" w:sz="4" w:space="0" w:color="auto"/>
            </w:tcBorders>
            <w:tcMar>
              <w:top w:w="170" w:type="dxa"/>
              <w:left w:w="425" w:type="dxa"/>
              <w:bottom w:w="170" w:type="dxa"/>
              <w:right w:w="425" w:type="dxa"/>
            </w:tcMar>
          </w:tcPr>
          <w:p w14:paraId="7B6F8F0E" w14:textId="3060ABE8" w:rsidR="00682D61" w:rsidRDefault="00484AF5" w:rsidP="00531FF7">
            <w:pPr>
              <w:spacing w:line="259" w:lineRule="auto"/>
              <w:ind w:left="-270"/>
              <w:rPr>
                <w:rFonts w:ascii="Arial" w:eastAsia="Arial" w:hAnsi="Arial" w:cs="Arial"/>
                <w:sz w:val="20"/>
                <w:szCs w:val="20"/>
              </w:rPr>
            </w:pPr>
            <w:r>
              <w:rPr>
                <w:rFonts w:ascii="Arial" w:eastAsia="Arial" w:hAnsi="Arial" w:cs="Arial"/>
                <w:sz w:val="22"/>
                <w:szCs w:val="22"/>
              </w:rPr>
              <w:t>To</w:t>
            </w:r>
            <w:r w:rsidRPr="00FB7FF7">
              <w:rPr>
                <w:rFonts w:ascii="Arial" w:eastAsia="Arial" w:hAnsi="Arial" w:cs="Arial"/>
                <w:sz w:val="22"/>
                <w:szCs w:val="22"/>
              </w:rPr>
              <w:t xml:space="preserve"> facilitate innovation, while supporting all Australian Governments to ensure continued management of risks</w:t>
            </w:r>
            <w:r w:rsidR="00201A6E">
              <w:rPr>
                <w:rFonts w:ascii="Arial" w:eastAsia="Arial" w:hAnsi="Arial" w:cs="Arial"/>
                <w:sz w:val="22"/>
                <w:szCs w:val="22"/>
              </w:rPr>
              <w:t>,</w:t>
            </w:r>
            <w:r w:rsidRPr="00FB7FF7">
              <w:rPr>
                <w:rFonts w:ascii="Arial" w:eastAsia="Arial" w:hAnsi="Arial" w:cs="Arial"/>
                <w:sz w:val="22"/>
                <w:szCs w:val="22"/>
              </w:rPr>
              <w:t xml:space="preserve"> </w:t>
            </w:r>
            <w:r w:rsidR="009D768C" w:rsidRPr="00FB7FF7">
              <w:rPr>
                <w:rFonts w:ascii="Arial" w:eastAsia="Arial" w:hAnsi="Arial" w:cs="Arial"/>
                <w:sz w:val="22"/>
                <w:szCs w:val="22"/>
              </w:rPr>
              <w:t xml:space="preserve">guidance material will </w:t>
            </w:r>
            <w:r>
              <w:rPr>
                <w:rFonts w:ascii="Arial" w:eastAsia="Arial" w:hAnsi="Arial" w:cs="Arial"/>
                <w:sz w:val="22"/>
                <w:szCs w:val="22"/>
              </w:rPr>
              <w:t xml:space="preserve">be developed to </w:t>
            </w:r>
            <w:r w:rsidR="009D768C" w:rsidRPr="00FB7FF7">
              <w:rPr>
                <w:rFonts w:ascii="Arial" w:eastAsia="Arial" w:hAnsi="Arial" w:cs="Arial"/>
                <w:sz w:val="22"/>
                <w:szCs w:val="22"/>
              </w:rPr>
              <w:t xml:space="preserve">increase clarity and understanding of proponents’ regulatory obligations </w:t>
            </w:r>
            <w:r w:rsidR="00531FF7">
              <w:rPr>
                <w:rFonts w:ascii="Arial" w:eastAsia="Arial" w:hAnsi="Arial" w:cs="Arial"/>
                <w:sz w:val="22"/>
                <w:szCs w:val="22"/>
              </w:rPr>
              <w:t xml:space="preserve">and strengthen compliance </w:t>
            </w:r>
            <w:r w:rsidR="009D768C" w:rsidRPr="00FB7FF7">
              <w:rPr>
                <w:rFonts w:ascii="Arial" w:eastAsia="Arial" w:hAnsi="Arial" w:cs="Arial"/>
                <w:sz w:val="22"/>
                <w:szCs w:val="22"/>
              </w:rPr>
              <w:t xml:space="preserve">for the possible broader environmental release of genetically modified organisms, and potential future environmental release of GM gene drive organisms. </w:t>
            </w:r>
          </w:p>
        </w:tc>
      </w:tr>
      <w:tr w:rsidR="00682D61" w14:paraId="6D105C76" w14:textId="77777777" w:rsidTr="00D00130">
        <w:trPr>
          <w:trHeight w:val="300"/>
          <w:jc w:val="center"/>
        </w:trPr>
        <w:tc>
          <w:tcPr>
            <w:tcW w:w="9802" w:type="dxa"/>
            <w:tcBorders>
              <w:top w:val="nil"/>
            </w:tcBorders>
            <w:shd w:val="clear" w:color="auto" w:fill="008080"/>
            <w:tcMar>
              <w:top w:w="170" w:type="dxa"/>
              <w:left w:w="425" w:type="dxa"/>
              <w:bottom w:w="170" w:type="dxa"/>
              <w:right w:w="425" w:type="dxa"/>
            </w:tcMar>
          </w:tcPr>
          <w:p w14:paraId="23076091" w14:textId="69460DF7" w:rsidR="00682D61" w:rsidRPr="00A63F2F" w:rsidRDefault="00953637" w:rsidP="00A63F2F">
            <w:pPr>
              <w:ind w:left="284" w:hanging="284"/>
              <w:rPr>
                <w:rFonts w:ascii="Arial" w:eastAsia="Arial" w:hAnsi="Arial" w:cs="Arial"/>
                <w:b/>
                <w:bCs/>
                <w:color w:val="FFFFFF" w:themeColor="background1"/>
                <w:sz w:val="26"/>
                <w:szCs w:val="26"/>
              </w:rPr>
            </w:pPr>
            <w:r w:rsidRPr="00A63F2F">
              <w:rPr>
                <w:rFonts w:ascii="Arial" w:eastAsia="Arial" w:hAnsi="Arial" w:cs="Arial"/>
                <w:b/>
                <w:bCs/>
                <w:color w:val="FFFFFF" w:themeColor="background1"/>
                <w:sz w:val="26"/>
                <w:szCs w:val="26"/>
              </w:rPr>
              <w:t xml:space="preserve">4. </w:t>
            </w:r>
            <w:r w:rsidR="005A1166" w:rsidRPr="00A63F2F">
              <w:rPr>
                <w:rFonts w:ascii="Arial" w:eastAsia="Arial" w:hAnsi="Arial" w:cs="Arial"/>
                <w:b/>
                <w:bCs/>
                <w:color w:val="FFFFFF" w:themeColor="background1"/>
                <w:sz w:val="26"/>
                <w:szCs w:val="26"/>
              </w:rPr>
              <w:t>S</w:t>
            </w:r>
            <w:r w:rsidR="00695700" w:rsidRPr="00A63F2F">
              <w:rPr>
                <w:rFonts w:ascii="Arial" w:eastAsia="Arial" w:hAnsi="Arial" w:cs="Arial"/>
                <w:b/>
                <w:bCs/>
                <w:color w:val="FFFFFF" w:themeColor="background1"/>
                <w:sz w:val="26"/>
                <w:szCs w:val="26"/>
              </w:rPr>
              <w:t xml:space="preserve">ustainable </w:t>
            </w:r>
            <w:r w:rsidR="00682D61" w:rsidRPr="00A63F2F">
              <w:rPr>
                <w:rFonts w:ascii="Arial" w:eastAsia="Arial" w:hAnsi="Arial" w:cs="Arial"/>
                <w:b/>
                <w:bCs/>
                <w:color w:val="FFFFFF" w:themeColor="background1"/>
                <w:sz w:val="26"/>
                <w:szCs w:val="26"/>
              </w:rPr>
              <w:t>funding</w:t>
            </w:r>
            <w:r w:rsidR="00695700" w:rsidRPr="00A63F2F">
              <w:rPr>
                <w:rFonts w:ascii="Arial" w:eastAsia="Arial" w:hAnsi="Arial" w:cs="Arial"/>
                <w:b/>
                <w:bCs/>
                <w:color w:val="FFFFFF" w:themeColor="background1"/>
                <w:sz w:val="26"/>
                <w:szCs w:val="26"/>
              </w:rPr>
              <w:t xml:space="preserve"> for the Scheme</w:t>
            </w:r>
          </w:p>
        </w:tc>
      </w:tr>
      <w:tr w:rsidR="00682D61" w14:paraId="27130D87" w14:textId="77777777" w:rsidTr="5BF47AB1">
        <w:trPr>
          <w:trHeight w:val="300"/>
          <w:jc w:val="center"/>
        </w:trPr>
        <w:tc>
          <w:tcPr>
            <w:tcW w:w="9802" w:type="dxa"/>
            <w:tcMar>
              <w:top w:w="170" w:type="dxa"/>
              <w:left w:w="425" w:type="dxa"/>
              <w:bottom w:w="170" w:type="dxa"/>
              <w:right w:w="425" w:type="dxa"/>
            </w:tcMar>
          </w:tcPr>
          <w:p w14:paraId="5D692DE8" w14:textId="181E8B60" w:rsidR="00682D61" w:rsidRPr="007F6695" w:rsidRDefault="005A1166" w:rsidP="007F6695">
            <w:pPr>
              <w:spacing w:line="259" w:lineRule="auto"/>
              <w:ind w:left="-270"/>
              <w:rPr>
                <w:rFonts w:ascii="Arial" w:eastAsia="Arial" w:hAnsi="Arial" w:cs="Arial"/>
                <w:sz w:val="22"/>
                <w:szCs w:val="22"/>
              </w:rPr>
            </w:pPr>
            <w:r>
              <w:rPr>
                <w:rFonts w:ascii="Arial" w:eastAsia="Arial" w:hAnsi="Arial" w:cs="Arial"/>
                <w:sz w:val="22"/>
                <w:szCs w:val="22"/>
              </w:rPr>
              <w:t>S</w:t>
            </w:r>
            <w:r w:rsidR="006905FB">
              <w:rPr>
                <w:rFonts w:ascii="Arial" w:eastAsia="Arial" w:hAnsi="Arial" w:cs="Arial"/>
                <w:sz w:val="22"/>
                <w:szCs w:val="22"/>
              </w:rPr>
              <w:t xml:space="preserve">ustainability of the Scheme is paramount. </w:t>
            </w:r>
            <w:r w:rsidRPr="00FB7FF7">
              <w:rPr>
                <w:rFonts w:ascii="Arial" w:eastAsia="Arial" w:hAnsi="Arial" w:cs="Arial"/>
                <w:sz w:val="22"/>
                <w:szCs w:val="22"/>
              </w:rPr>
              <w:t xml:space="preserve">Funding mechanisms need to achieve appropriate funding levels for Gene Technology Regulator activities and </w:t>
            </w:r>
            <w:r>
              <w:rPr>
                <w:rFonts w:ascii="Arial" w:eastAsia="Arial" w:hAnsi="Arial" w:cs="Arial"/>
                <w:sz w:val="22"/>
                <w:szCs w:val="22"/>
              </w:rPr>
              <w:t xml:space="preserve">to ensure future changes can be made to keep the </w:t>
            </w:r>
            <w:r w:rsidRPr="00FB7FF7">
              <w:rPr>
                <w:rFonts w:ascii="Arial" w:eastAsia="Arial" w:hAnsi="Arial" w:cs="Arial"/>
                <w:sz w:val="22"/>
                <w:szCs w:val="22"/>
              </w:rPr>
              <w:t>Scheme</w:t>
            </w:r>
            <w:r>
              <w:rPr>
                <w:rFonts w:ascii="Arial" w:eastAsia="Arial" w:hAnsi="Arial" w:cs="Arial"/>
                <w:sz w:val="22"/>
                <w:szCs w:val="22"/>
              </w:rPr>
              <w:t xml:space="preserve"> contemporary</w:t>
            </w:r>
            <w:r w:rsidRPr="00FB7FF7">
              <w:rPr>
                <w:rFonts w:ascii="Arial" w:eastAsia="Arial" w:hAnsi="Arial" w:cs="Arial"/>
                <w:sz w:val="22"/>
                <w:szCs w:val="22"/>
              </w:rPr>
              <w:t>.</w:t>
            </w:r>
            <w:r>
              <w:rPr>
                <w:rFonts w:ascii="Arial" w:eastAsia="Arial" w:hAnsi="Arial" w:cs="Arial"/>
                <w:sz w:val="22"/>
                <w:szCs w:val="22"/>
              </w:rPr>
              <w:t xml:space="preserve"> F</w:t>
            </w:r>
            <w:r w:rsidR="009D768C" w:rsidRPr="00FB7FF7">
              <w:rPr>
                <w:rFonts w:ascii="Arial" w:eastAsia="Arial" w:hAnsi="Arial" w:cs="Arial"/>
                <w:sz w:val="22"/>
                <w:szCs w:val="22"/>
              </w:rPr>
              <w:t xml:space="preserve">unding mechanisms </w:t>
            </w:r>
            <w:r>
              <w:rPr>
                <w:rFonts w:ascii="Arial" w:eastAsia="Arial" w:hAnsi="Arial" w:cs="Arial"/>
                <w:sz w:val="22"/>
                <w:szCs w:val="22"/>
              </w:rPr>
              <w:t xml:space="preserve">will be investigated </w:t>
            </w:r>
            <w:r w:rsidR="009D768C" w:rsidRPr="00FB7FF7">
              <w:rPr>
                <w:rFonts w:ascii="Arial" w:eastAsia="Arial" w:hAnsi="Arial" w:cs="Arial"/>
                <w:sz w:val="22"/>
                <w:szCs w:val="22"/>
              </w:rPr>
              <w:t xml:space="preserve">to </w:t>
            </w:r>
            <w:r>
              <w:rPr>
                <w:rFonts w:ascii="Arial" w:eastAsia="Arial" w:hAnsi="Arial" w:cs="Arial"/>
                <w:sz w:val="22"/>
                <w:szCs w:val="22"/>
              </w:rPr>
              <w:t xml:space="preserve">inform options to </w:t>
            </w:r>
            <w:r w:rsidR="009D768C" w:rsidRPr="00FB7FF7">
              <w:rPr>
                <w:rFonts w:ascii="Arial" w:eastAsia="Arial" w:hAnsi="Arial" w:cs="Arial"/>
                <w:sz w:val="22"/>
                <w:szCs w:val="22"/>
              </w:rPr>
              <w:t xml:space="preserve">enable </w:t>
            </w:r>
            <w:r>
              <w:rPr>
                <w:rFonts w:ascii="Arial" w:eastAsia="Arial" w:hAnsi="Arial" w:cs="Arial"/>
                <w:sz w:val="22"/>
                <w:szCs w:val="22"/>
              </w:rPr>
              <w:t xml:space="preserve">sustainability of </w:t>
            </w:r>
            <w:r w:rsidR="009D768C" w:rsidRPr="00FB7FF7">
              <w:rPr>
                <w:rFonts w:ascii="Arial" w:eastAsia="Arial" w:hAnsi="Arial" w:cs="Arial"/>
                <w:sz w:val="22"/>
                <w:szCs w:val="22"/>
              </w:rPr>
              <w:t xml:space="preserve">the Scheme. </w:t>
            </w:r>
          </w:p>
        </w:tc>
      </w:tr>
      <w:tr w:rsidR="00682D61" w14:paraId="4B892486" w14:textId="77777777" w:rsidTr="5BF47AB1">
        <w:trPr>
          <w:trHeight w:val="300"/>
          <w:jc w:val="center"/>
        </w:trPr>
        <w:tc>
          <w:tcPr>
            <w:tcW w:w="9802" w:type="dxa"/>
            <w:shd w:val="clear" w:color="auto" w:fill="008080"/>
            <w:tcMar>
              <w:top w:w="170" w:type="dxa"/>
              <w:left w:w="425" w:type="dxa"/>
              <w:bottom w:w="170" w:type="dxa"/>
              <w:right w:w="425" w:type="dxa"/>
            </w:tcMar>
          </w:tcPr>
          <w:p w14:paraId="20FAAB44" w14:textId="4E9AE5A1" w:rsidR="00682D61" w:rsidRPr="00A63F2F" w:rsidRDefault="00953637" w:rsidP="009D768C">
            <w:pPr>
              <w:ind w:left="284" w:hanging="284"/>
              <w:rPr>
                <w:rFonts w:ascii="Arial" w:eastAsia="Arial" w:hAnsi="Arial" w:cs="Arial"/>
                <w:b/>
                <w:bCs/>
                <w:color w:val="FFFFFF" w:themeColor="background1"/>
                <w:sz w:val="26"/>
                <w:szCs w:val="26"/>
              </w:rPr>
            </w:pPr>
            <w:r w:rsidRPr="00A63F2F">
              <w:rPr>
                <w:rFonts w:ascii="Arial" w:eastAsia="Arial" w:hAnsi="Arial" w:cs="Arial"/>
                <w:b/>
                <w:bCs/>
                <w:color w:val="FFFFFF" w:themeColor="background1"/>
                <w:sz w:val="26"/>
                <w:szCs w:val="26"/>
              </w:rPr>
              <w:t xml:space="preserve">5. </w:t>
            </w:r>
            <w:r w:rsidR="009D768C" w:rsidRPr="00A63F2F">
              <w:rPr>
                <w:rFonts w:ascii="Arial" w:eastAsia="Arial" w:hAnsi="Arial" w:cs="Arial"/>
                <w:b/>
                <w:bCs/>
                <w:color w:val="FFFFFF" w:themeColor="background1"/>
                <w:sz w:val="26"/>
                <w:szCs w:val="26"/>
              </w:rPr>
              <w:t>Increase stakeholder and public understanding of gene technology and its regulation under the Scheme</w:t>
            </w:r>
            <w:r w:rsidR="2DF2E347" w:rsidRPr="00A63F2F">
              <w:rPr>
                <w:rFonts w:ascii="Arial" w:eastAsia="Arial" w:hAnsi="Arial" w:cs="Arial"/>
                <w:b/>
                <w:bCs/>
                <w:color w:val="FFFFFF" w:themeColor="background1"/>
                <w:sz w:val="26"/>
                <w:szCs w:val="26"/>
              </w:rPr>
              <w:t xml:space="preserve"> </w:t>
            </w:r>
          </w:p>
        </w:tc>
      </w:tr>
      <w:tr w:rsidR="00682D61" w14:paraId="5CE7A5BA" w14:textId="77777777" w:rsidTr="007F6695">
        <w:trPr>
          <w:trHeight w:val="854"/>
          <w:jc w:val="center"/>
        </w:trPr>
        <w:tc>
          <w:tcPr>
            <w:tcW w:w="9802" w:type="dxa"/>
            <w:tcMar>
              <w:top w:w="170" w:type="dxa"/>
              <w:left w:w="425" w:type="dxa"/>
              <w:bottom w:w="170" w:type="dxa"/>
              <w:right w:w="425" w:type="dxa"/>
            </w:tcMar>
          </w:tcPr>
          <w:p w14:paraId="41791356" w14:textId="1DF7C641" w:rsidR="00682D61" w:rsidRDefault="007B2FBE" w:rsidP="007E458C">
            <w:pPr>
              <w:spacing w:line="259" w:lineRule="auto"/>
              <w:ind w:left="-270"/>
              <w:rPr>
                <w:rFonts w:ascii="Arial" w:eastAsia="Arial" w:hAnsi="Arial" w:cs="Arial"/>
                <w:sz w:val="20"/>
                <w:szCs w:val="20"/>
              </w:rPr>
            </w:pPr>
            <w:r>
              <w:rPr>
                <w:rFonts w:ascii="Arial" w:eastAsia="Arial" w:hAnsi="Arial" w:cs="Arial"/>
                <w:sz w:val="22"/>
                <w:szCs w:val="22"/>
              </w:rPr>
              <w:t>E</w:t>
            </w:r>
            <w:r w:rsidR="009D768C" w:rsidRPr="00FB7FF7">
              <w:rPr>
                <w:rFonts w:ascii="Arial" w:eastAsia="Arial" w:hAnsi="Arial" w:cs="Arial"/>
                <w:sz w:val="22"/>
                <w:szCs w:val="22"/>
              </w:rPr>
              <w:t xml:space="preserve">ducational materials will be developed, and existing resources will be updated to ensure stakeholders have access to current gene technology information and </w:t>
            </w:r>
            <w:r w:rsidR="00D071C6" w:rsidRPr="00FB7FF7">
              <w:rPr>
                <w:rFonts w:ascii="Arial" w:eastAsia="Arial" w:hAnsi="Arial" w:cs="Arial"/>
                <w:sz w:val="22"/>
                <w:szCs w:val="22"/>
              </w:rPr>
              <w:t>developments</w:t>
            </w:r>
            <w:r w:rsidR="00D071C6">
              <w:rPr>
                <w:rFonts w:ascii="Arial" w:eastAsia="Arial" w:hAnsi="Arial" w:cs="Arial"/>
                <w:sz w:val="22"/>
                <w:szCs w:val="22"/>
              </w:rPr>
              <w:t xml:space="preserve">. These materials will also support </w:t>
            </w:r>
            <w:r w:rsidR="009D768C" w:rsidRPr="00FB7FF7">
              <w:rPr>
                <w:rFonts w:ascii="Arial" w:eastAsia="Arial" w:hAnsi="Arial" w:cs="Arial"/>
                <w:sz w:val="22"/>
                <w:szCs w:val="22"/>
              </w:rPr>
              <w:t>increase</w:t>
            </w:r>
            <w:r w:rsidR="00D071C6">
              <w:rPr>
                <w:rFonts w:ascii="Arial" w:eastAsia="Arial" w:hAnsi="Arial" w:cs="Arial"/>
                <w:sz w:val="22"/>
                <w:szCs w:val="22"/>
              </w:rPr>
              <w:t>d</w:t>
            </w:r>
            <w:r w:rsidR="009D768C" w:rsidRPr="00FB7FF7">
              <w:rPr>
                <w:rFonts w:ascii="Arial" w:eastAsia="Arial" w:hAnsi="Arial" w:cs="Arial"/>
                <w:sz w:val="22"/>
                <w:szCs w:val="22"/>
              </w:rPr>
              <w:t xml:space="preserve"> public understanding and confidence in the Scheme.</w:t>
            </w:r>
          </w:p>
        </w:tc>
      </w:tr>
    </w:tbl>
    <w:p w14:paraId="6A198FA0" w14:textId="77777777" w:rsidR="00953637" w:rsidRPr="00953637" w:rsidRDefault="00953637" w:rsidP="007B2FBE">
      <w:pPr>
        <w:pStyle w:val="Default"/>
        <w:rPr>
          <w:sz w:val="22"/>
          <w:szCs w:val="22"/>
        </w:rPr>
      </w:pPr>
    </w:p>
    <w:sectPr w:rsidR="00953637" w:rsidRPr="00953637" w:rsidSect="007B2FBE">
      <w:headerReference w:type="default" r:id="rId12"/>
      <w:footerReference w:type="default" r:id="rId13"/>
      <w:pgSz w:w="11906" w:h="16838"/>
      <w:pgMar w:top="425"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D660" w14:textId="77777777" w:rsidR="009814E3" w:rsidRDefault="009814E3" w:rsidP="00133237">
      <w:pPr>
        <w:spacing w:after="0" w:line="240" w:lineRule="auto"/>
      </w:pPr>
      <w:r>
        <w:separator/>
      </w:r>
    </w:p>
  </w:endnote>
  <w:endnote w:type="continuationSeparator" w:id="0">
    <w:p w14:paraId="1C5C61F2" w14:textId="77777777" w:rsidR="009814E3" w:rsidRDefault="009814E3" w:rsidP="0013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F47AB1" w14:paraId="6EA3DF14" w14:textId="77777777" w:rsidTr="5BF47AB1">
      <w:trPr>
        <w:trHeight w:val="300"/>
      </w:trPr>
      <w:tc>
        <w:tcPr>
          <w:tcW w:w="3005" w:type="dxa"/>
        </w:tcPr>
        <w:p w14:paraId="2293A51B" w14:textId="23FAB2E0" w:rsidR="5BF47AB1" w:rsidRDefault="5BF47AB1" w:rsidP="5BF47AB1">
          <w:pPr>
            <w:pStyle w:val="Header"/>
            <w:ind w:left="-115"/>
          </w:pPr>
        </w:p>
      </w:tc>
      <w:tc>
        <w:tcPr>
          <w:tcW w:w="3005" w:type="dxa"/>
        </w:tcPr>
        <w:p w14:paraId="386127E0" w14:textId="37E6D9C8" w:rsidR="5BF47AB1" w:rsidRDefault="5BF47AB1" w:rsidP="5BF47AB1">
          <w:pPr>
            <w:pStyle w:val="Header"/>
            <w:jc w:val="center"/>
          </w:pPr>
        </w:p>
      </w:tc>
      <w:tc>
        <w:tcPr>
          <w:tcW w:w="3005" w:type="dxa"/>
        </w:tcPr>
        <w:p w14:paraId="1F30A6D1" w14:textId="2E7235E3" w:rsidR="5BF47AB1" w:rsidRDefault="5BF47AB1" w:rsidP="5BF47AB1">
          <w:pPr>
            <w:pStyle w:val="Header"/>
            <w:ind w:right="-115"/>
            <w:jc w:val="right"/>
          </w:pPr>
        </w:p>
      </w:tc>
    </w:tr>
  </w:tbl>
  <w:p w14:paraId="284E9361" w14:textId="45BEC4B7" w:rsidR="5BF47AB1" w:rsidRDefault="5BF47AB1" w:rsidP="007B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7876" w14:textId="77777777" w:rsidR="009814E3" w:rsidRDefault="009814E3" w:rsidP="00133237">
      <w:pPr>
        <w:spacing w:after="0" w:line="240" w:lineRule="auto"/>
      </w:pPr>
      <w:r>
        <w:separator/>
      </w:r>
    </w:p>
  </w:footnote>
  <w:footnote w:type="continuationSeparator" w:id="0">
    <w:p w14:paraId="3113A546" w14:textId="77777777" w:rsidR="009814E3" w:rsidRDefault="009814E3" w:rsidP="00133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557B" w14:textId="19B6984C" w:rsidR="00133237" w:rsidRDefault="00133237" w:rsidP="001332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5040"/>
    <w:multiLevelType w:val="hybridMultilevel"/>
    <w:tmpl w:val="7A544884"/>
    <w:lvl w:ilvl="0" w:tplc="7BB2F55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14D9E"/>
    <w:multiLevelType w:val="hybridMultilevel"/>
    <w:tmpl w:val="89DADE84"/>
    <w:lvl w:ilvl="0" w:tplc="DC02CD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CC36038"/>
    <w:multiLevelType w:val="hybridMultilevel"/>
    <w:tmpl w:val="1F100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22889360">
    <w:abstractNumId w:val="2"/>
  </w:num>
  <w:num w:numId="2" w16cid:durableId="1080983260">
    <w:abstractNumId w:val="3"/>
  </w:num>
  <w:num w:numId="3" w16cid:durableId="1027218612">
    <w:abstractNumId w:val="0"/>
  </w:num>
  <w:num w:numId="4" w16cid:durableId="1482043584">
    <w:abstractNumId w:val="2"/>
  </w:num>
  <w:num w:numId="5" w16cid:durableId="1057358130">
    <w:abstractNumId w:val="2"/>
  </w:num>
  <w:num w:numId="6" w16cid:durableId="935334577">
    <w:abstractNumId w:val="2"/>
  </w:num>
  <w:num w:numId="7" w16cid:durableId="1577276636">
    <w:abstractNumId w:val="2"/>
  </w:num>
  <w:num w:numId="8" w16cid:durableId="2006937330">
    <w:abstractNumId w:val="2"/>
  </w:num>
  <w:num w:numId="9" w16cid:durableId="411703811">
    <w:abstractNumId w:val="2"/>
  </w:num>
  <w:num w:numId="10" w16cid:durableId="667438291">
    <w:abstractNumId w:val="2"/>
  </w:num>
  <w:num w:numId="11" w16cid:durableId="1254779892">
    <w:abstractNumId w:val="2"/>
  </w:num>
  <w:num w:numId="12" w16cid:durableId="87388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37"/>
    <w:rsid w:val="0001393B"/>
    <w:rsid w:val="00017DC1"/>
    <w:rsid w:val="000253B6"/>
    <w:rsid w:val="0005116E"/>
    <w:rsid w:val="00062EDD"/>
    <w:rsid w:val="00067F16"/>
    <w:rsid w:val="000C71DB"/>
    <w:rsid w:val="00112573"/>
    <w:rsid w:val="00133237"/>
    <w:rsid w:val="0013507C"/>
    <w:rsid w:val="001666C3"/>
    <w:rsid w:val="001747D2"/>
    <w:rsid w:val="00174BE7"/>
    <w:rsid w:val="001853E8"/>
    <w:rsid w:val="001A6927"/>
    <w:rsid w:val="001D0D15"/>
    <w:rsid w:val="001E5366"/>
    <w:rsid w:val="00201A6E"/>
    <w:rsid w:val="00203835"/>
    <w:rsid w:val="00204479"/>
    <w:rsid w:val="00273080"/>
    <w:rsid w:val="00280050"/>
    <w:rsid w:val="0028208A"/>
    <w:rsid w:val="002D06FC"/>
    <w:rsid w:val="00336EDC"/>
    <w:rsid w:val="0036559E"/>
    <w:rsid w:val="00377E11"/>
    <w:rsid w:val="003A29C4"/>
    <w:rsid w:val="003A48AD"/>
    <w:rsid w:val="003A5C6B"/>
    <w:rsid w:val="003C7440"/>
    <w:rsid w:val="003E0680"/>
    <w:rsid w:val="003F2C2E"/>
    <w:rsid w:val="004216BB"/>
    <w:rsid w:val="004569EF"/>
    <w:rsid w:val="004651DB"/>
    <w:rsid w:val="00484AF5"/>
    <w:rsid w:val="0049178C"/>
    <w:rsid w:val="00494018"/>
    <w:rsid w:val="004A1AC2"/>
    <w:rsid w:val="004C679B"/>
    <w:rsid w:val="004E65BA"/>
    <w:rsid w:val="004F2052"/>
    <w:rsid w:val="00501C34"/>
    <w:rsid w:val="005077BE"/>
    <w:rsid w:val="005142BE"/>
    <w:rsid w:val="005233B2"/>
    <w:rsid w:val="005240CB"/>
    <w:rsid w:val="00524704"/>
    <w:rsid w:val="005252A2"/>
    <w:rsid w:val="00531FF7"/>
    <w:rsid w:val="00560ACE"/>
    <w:rsid w:val="00572D97"/>
    <w:rsid w:val="00585C26"/>
    <w:rsid w:val="005A0A4E"/>
    <w:rsid w:val="005A1166"/>
    <w:rsid w:val="005B70BE"/>
    <w:rsid w:val="005C1F8B"/>
    <w:rsid w:val="00605780"/>
    <w:rsid w:val="00621578"/>
    <w:rsid w:val="006331FA"/>
    <w:rsid w:val="00657345"/>
    <w:rsid w:val="006729AA"/>
    <w:rsid w:val="00673C08"/>
    <w:rsid w:val="00682D61"/>
    <w:rsid w:val="006905FB"/>
    <w:rsid w:val="00695700"/>
    <w:rsid w:val="006B562B"/>
    <w:rsid w:val="006C39A6"/>
    <w:rsid w:val="00782F54"/>
    <w:rsid w:val="00787808"/>
    <w:rsid w:val="007979D4"/>
    <w:rsid w:val="007A1D3B"/>
    <w:rsid w:val="007B0489"/>
    <w:rsid w:val="007B2FBE"/>
    <w:rsid w:val="007B53E3"/>
    <w:rsid w:val="007C6AF7"/>
    <w:rsid w:val="007E458C"/>
    <w:rsid w:val="007F26F3"/>
    <w:rsid w:val="007F6695"/>
    <w:rsid w:val="0080033E"/>
    <w:rsid w:val="0084798B"/>
    <w:rsid w:val="008520CE"/>
    <w:rsid w:val="008A7DD7"/>
    <w:rsid w:val="008F1A06"/>
    <w:rsid w:val="00910042"/>
    <w:rsid w:val="00926BA2"/>
    <w:rsid w:val="00937DF9"/>
    <w:rsid w:val="00953637"/>
    <w:rsid w:val="00955632"/>
    <w:rsid w:val="009770B4"/>
    <w:rsid w:val="009814E3"/>
    <w:rsid w:val="009B4988"/>
    <w:rsid w:val="009B6287"/>
    <w:rsid w:val="009C4FD9"/>
    <w:rsid w:val="009D768C"/>
    <w:rsid w:val="00A30DA8"/>
    <w:rsid w:val="00A63F2F"/>
    <w:rsid w:val="00A64DC4"/>
    <w:rsid w:val="00A855B7"/>
    <w:rsid w:val="00A8670F"/>
    <w:rsid w:val="00A9138B"/>
    <w:rsid w:val="00AA47BA"/>
    <w:rsid w:val="00AB0F02"/>
    <w:rsid w:val="00AB7C49"/>
    <w:rsid w:val="00AD0E86"/>
    <w:rsid w:val="00AD7CA1"/>
    <w:rsid w:val="00AE5692"/>
    <w:rsid w:val="00AE58F3"/>
    <w:rsid w:val="00B505AF"/>
    <w:rsid w:val="00B5732C"/>
    <w:rsid w:val="00B61E17"/>
    <w:rsid w:val="00B82E5D"/>
    <w:rsid w:val="00BF13F3"/>
    <w:rsid w:val="00BF2B90"/>
    <w:rsid w:val="00BF5EB2"/>
    <w:rsid w:val="00C678DE"/>
    <w:rsid w:val="00C909D8"/>
    <w:rsid w:val="00CA1F79"/>
    <w:rsid w:val="00CC7677"/>
    <w:rsid w:val="00CD716E"/>
    <w:rsid w:val="00CE5EF0"/>
    <w:rsid w:val="00CF03CC"/>
    <w:rsid w:val="00D00130"/>
    <w:rsid w:val="00D071C6"/>
    <w:rsid w:val="00D22FF8"/>
    <w:rsid w:val="00D2786B"/>
    <w:rsid w:val="00D44F35"/>
    <w:rsid w:val="00D460EC"/>
    <w:rsid w:val="00D765C9"/>
    <w:rsid w:val="00D831CF"/>
    <w:rsid w:val="00DB15AB"/>
    <w:rsid w:val="00DB17AA"/>
    <w:rsid w:val="00E22059"/>
    <w:rsid w:val="00E828A3"/>
    <w:rsid w:val="00E904E9"/>
    <w:rsid w:val="00E91F6E"/>
    <w:rsid w:val="00E92528"/>
    <w:rsid w:val="00F017DA"/>
    <w:rsid w:val="00F018CB"/>
    <w:rsid w:val="00F037BC"/>
    <w:rsid w:val="00F14D6C"/>
    <w:rsid w:val="00F37AC2"/>
    <w:rsid w:val="00F50AFE"/>
    <w:rsid w:val="00F54059"/>
    <w:rsid w:val="00F54A84"/>
    <w:rsid w:val="00F872AF"/>
    <w:rsid w:val="00FB0288"/>
    <w:rsid w:val="00FB7FF7"/>
    <w:rsid w:val="00FC5B3A"/>
    <w:rsid w:val="00FE5598"/>
    <w:rsid w:val="00FF1CED"/>
    <w:rsid w:val="013457EC"/>
    <w:rsid w:val="02C9C9FE"/>
    <w:rsid w:val="030BDBB7"/>
    <w:rsid w:val="03EDFB90"/>
    <w:rsid w:val="04EF4AD4"/>
    <w:rsid w:val="054A4484"/>
    <w:rsid w:val="05930879"/>
    <w:rsid w:val="06BE7624"/>
    <w:rsid w:val="07A95827"/>
    <w:rsid w:val="07B0EFE6"/>
    <w:rsid w:val="085A4685"/>
    <w:rsid w:val="096BD8CA"/>
    <w:rsid w:val="0B5AB59B"/>
    <w:rsid w:val="0B8B1F8E"/>
    <w:rsid w:val="0D2DB7A8"/>
    <w:rsid w:val="0D4AB4BD"/>
    <w:rsid w:val="0DD2CD3B"/>
    <w:rsid w:val="0DFAAFB1"/>
    <w:rsid w:val="0E170624"/>
    <w:rsid w:val="0F22DD66"/>
    <w:rsid w:val="103173D1"/>
    <w:rsid w:val="104F2C7F"/>
    <w:rsid w:val="109E099F"/>
    <w:rsid w:val="115EDB30"/>
    <w:rsid w:val="120B1616"/>
    <w:rsid w:val="123C3FF2"/>
    <w:rsid w:val="123F1383"/>
    <w:rsid w:val="144A5889"/>
    <w:rsid w:val="147FB1F3"/>
    <w:rsid w:val="1557A3FE"/>
    <w:rsid w:val="15F93191"/>
    <w:rsid w:val="174203C7"/>
    <w:rsid w:val="1855B720"/>
    <w:rsid w:val="1969F783"/>
    <w:rsid w:val="1AEC7BF9"/>
    <w:rsid w:val="1BCB0847"/>
    <w:rsid w:val="1F9A4090"/>
    <w:rsid w:val="202679D1"/>
    <w:rsid w:val="230EE440"/>
    <w:rsid w:val="245A8AF2"/>
    <w:rsid w:val="252A30D6"/>
    <w:rsid w:val="25FB801D"/>
    <w:rsid w:val="26D55CF0"/>
    <w:rsid w:val="28712D51"/>
    <w:rsid w:val="291C6BAB"/>
    <w:rsid w:val="29E61232"/>
    <w:rsid w:val="2CE16495"/>
    <w:rsid w:val="2DC20BFD"/>
    <w:rsid w:val="2DF2E347"/>
    <w:rsid w:val="2E3BA9F7"/>
    <w:rsid w:val="2EAD631A"/>
    <w:rsid w:val="2F7873E2"/>
    <w:rsid w:val="2FBF9085"/>
    <w:rsid w:val="3039DAA1"/>
    <w:rsid w:val="3217BF89"/>
    <w:rsid w:val="32ED57C6"/>
    <w:rsid w:val="3341850B"/>
    <w:rsid w:val="33750833"/>
    <w:rsid w:val="349FE034"/>
    <w:rsid w:val="362D937F"/>
    <w:rsid w:val="36649652"/>
    <w:rsid w:val="37E04A3A"/>
    <w:rsid w:val="37EAF89C"/>
    <w:rsid w:val="395FE706"/>
    <w:rsid w:val="3C1799B0"/>
    <w:rsid w:val="3C70A33D"/>
    <w:rsid w:val="3CD3D7D6"/>
    <w:rsid w:val="3DB05D87"/>
    <w:rsid w:val="3E18253A"/>
    <w:rsid w:val="3F6A4D58"/>
    <w:rsid w:val="3FDCE224"/>
    <w:rsid w:val="4010AC10"/>
    <w:rsid w:val="41C1445A"/>
    <w:rsid w:val="42A1910E"/>
    <w:rsid w:val="42BC7588"/>
    <w:rsid w:val="43F95089"/>
    <w:rsid w:val="44A73977"/>
    <w:rsid w:val="451C5206"/>
    <w:rsid w:val="46D397B8"/>
    <w:rsid w:val="47D6A56E"/>
    <w:rsid w:val="483FE19F"/>
    <w:rsid w:val="488D4682"/>
    <w:rsid w:val="4911447F"/>
    <w:rsid w:val="4CBAE653"/>
    <w:rsid w:val="4D941777"/>
    <w:rsid w:val="5136ED48"/>
    <w:rsid w:val="51D985B4"/>
    <w:rsid w:val="52265C71"/>
    <w:rsid w:val="5267889A"/>
    <w:rsid w:val="527B0A44"/>
    <w:rsid w:val="549D6CDB"/>
    <w:rsid w:val="554D6D9B"/>
    <w:rsid w:val="566A34F8"/>
    <w:rsid w:val="5772C310"/>
    <w:rsid w:val="57837652"/>
    <w:rsid w:val="58066AA8"/>
    <w:rsid w:val="58799C40"/>
    <w:rsid w:val="58A58EC4"/>
    <w:rsid w:val="596FB01D"/>
    <w:rsid w:val="5A45008C"/>
    <w:rsid w:val="5BF47AB1"/>
    <w:rsid w:val="5C07395B"/>
    <w:rsid w:val="5D9B3B9B"/>
    <w:rsid w:val="5DC191A3"/>
    <w:rsid w:val="61AD3AE9"/>
    <w:rsid w:val="61AEB41D"/>
    <w:rsid w:val="6203EEF6"/>
    <w:rsid w:val="62C2B58B"/>
    <w:rsid w:val="64818051"/>
    <w:rsid w:val="64E57B11"/>
    <w:rsid w:val="654FF60C"/>
    <w:rsid w:val="66700E77"/>
    <w:rsid w:val="669F8A9F"/>
    <w:rsid w:val="686DFC80"/>
    <w:rsid w:val="69C7887E"/>
    <w:rsid w:val="6AEC9C6D"/>
    <w:rsid w:val="6B1459A8"/>
    <w:rsid w:val="6B2FB986"/>
    <w:rsid w:val="6B434DA2"/>
    <w:rsid w:val="6B69CA19"/>
    <w:rsid w:val="6BAC43AF"/>
    <w:rsid w:val="6C6FC815"/>
    <w:rsid w:val="6D4E5E07"/>
    <w:rsid w:val="6F9CDCF0"/>
    <w:rsid w:val="70F6BDEA"/>
    <w:rsid w:val="70FA46A0"/>
    <w:rsid w:val="726BBE58"/>
    <w:rsid w:val="729DA5FF"/>
    <w:rsid w:val="74E02308"/>
    <w:rsid w:val="75FFE80E"/>
    <w:rsid w:val="7688C623"/>
    <w:rsid w:val="76AAEDA2"/>
    <w:rsid w:val="76C4562D"/>
    <w:rsid w:val="77130190"/>
    <w:rsid w:val="77325678"/>
    <w:rsid w:val="77457A66"/>
    <w:rsid w:val="77868539"/>
    <w:rsid w:val="77BD0268"/>
    <w:rsid w:val="7868A469"/>
    <w:rsid w:val="78794B12"/>
    <w:rsid w:val="799F1DFF"/>
    <w:rsid w:val="79BC4C00"/>
    <w:rsid w:val="7CA36DE2"/>
    <w:rsid w:val="7D1D3A90"/>
    <w:rsid w:val="7D56AEB8"/>
    <w:rsid w:val="7D77B367"/>
    <w:rsid w:val="7F94E12A"/>
    <w:rsid w:val="7FEF5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FAF5"/>
  <w15:chartTrackingRefBased/>
  <w15:docId w15:val="{771ABA19-A7CA-4F26-BCB3-98E76B4C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237"/>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13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237"/>
  </w:style>
  <w:style w:type="paragraph" w:styleId="Footer">
    <w:name w:val="footer"/>
    <w:basedOn w:val="Normal"/>
    <w:link w:val="FooterChar"/>
    <w:uiPriority w:val="99"/>
    <w:unhideWhenUsed/>
    <w:rsid w:val="0013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237"/>
  </w:style>
  <w:style w:type="paragraph" w:styleId="ListParagraph">
    <w:name w:val="List Paragraph"/>
    <w:basedOn w:val="Normal"/>
    <w:uiPriority w:val="34"/>
    <w:qFormat/>
    <w:rsid w:val="00062EDD"/>
    <w:pPr>
      <w:numPr>
        <w:numId w:val="1"/>
      </w:numPr>
      <w:spacing w:after="120" w:line="240" w:lineRule="auto"/>
      <w:contextualSpacing/>
      <w:jc w:val="both"/>
    </w:pPr>
    <w:rPr>
      <w:rFonts w:asciiTheme="minorHAnsi" w:hAnsiTheme="minorHAnsi" w:cs="Arial"/>
      <w:szCs w:val="22"/>
    </w:rPr>
  </w:style>
  <w:style w:type="character" w:styleId="CommentReference">
    <w:name w:val="annotation reference"/>
    <w:basedOn w:val="DefaultParagraphFont"/>
    <w:uiPriority w:val="99"/>
    <w:semiHidden/>
    <w:unhideWhenUsed/>
    <w:rsid w:val="00062EDD"/>
    <w:rPr>
      <w:sz w:val="16"/>
      <w:szCs w:val="16"/>
    </w:rPr>
  </w:style>
  <w:style w:type="paragraph" w:styleId="CommentText">
    <w:name w:val="annotation text"/>
    <w:basedOn w:val="Normal"/>
    <w:link w:val="CommentTextChar"/>
    <w:uiPriority w:val="99"/>
    <w:semiHidden/>
    <w:unhideWhenUsed/>
    <w:rsid w:val="00BF13F3"/>
    <w:pPr>
      <w:spacing w:line="240" w:lineRule="auto"/>
    </w:pPr>
    <w:rPr>
      <w:sz w:val="20"/>
      <w:szCs w:val="20"/>
    </w:rPr>
  </w:style>
  <w:style w:type="character" w:customStyle="1" w:styleId="CommentTextChar">
    <w:name w:val="Comment Text Char"/>
    <w:basedOn w:val="DefaultParagraphFont"/>
    <w:link w:val="CommentText"/>
    <w:uiPriority w:val="99"/>
    <w:semiHidden/>
    <w:rsid w:val="00BF13F3"/>
    <w:rPr>
      <w:sz w:val="20"/>
      <w:szCs w:val="20"/>
    </w:rPr>
  </w:style>
  <w:style w:type="paragraph" w:styleId="CommentSubject">
    <w:name w:val="annotation subject"/>
    <w:basedOn w:val="CommentText"/>
    <w:next w:val="CommentText"/>
    <w:link w:val="CommentSubjectChar"/>
    <w:uiPriority w:val="99"/>
    <w:semiHidden/>
    <w:unhideWhenUsed/>
    <w:rsid w:val="00BF13F3"/>
    <w:rPr>
      <w:b/>
      <w:bCs/>
    </w:rPr>
  </w:style>
  <w:style w:type="character" w:customStyle="1" w:styleId="CommentSubjectChar">
    <w:name w:val="Comment Subject Char"/>
    <w:basedOn w:val="CommentTextChar"/>
    <w:link w:val="CommentSubject"/>
    <w:uiPriority w:val="99"/>
    <w:semiHidden/>
    <w:rsid w:val="00BF13F3"/>
    <w:rPr>
      <w:b/>
      <w:bCs/>
      <w:sz w:val="20"/>
      <w:szCs w:val="20"/>
    </w:rPr>
  </w:style>
  <w:style w:type="character" w:styleId="Hyperlink">
    <w:name w:val="Hyperlink"/>
    <w:basedOn w:val="DefaultParagraphFont"/>
    <w:uiPriority w:val="99"/>
    <w:unhideWhenUsed/>
    <w:rsid w:val="00AD7CA1"/>
    <w:rPr>
      <w:color w:val="0563C1" w:themeColor="hyperlink"/>
      <w:u w:val="single"/>
    </w:rPr>
  </w:style>
  <w:style w:type="character" w:styleId="UnresolvedMention">
    <w:name w:val="Unresolved Mention"/>
    <w:basedOn w:val="DefaultParagraphFont"/>
    <w:uiPriority w:val="99"/>
    <w:semiHidden/>
    <w:unhideWhenUsed/>
    <w:rsid w:val="00AD7CA1"/>
    <w:rPr>
      <w:color w:val="605E5C"/>
      <w:shd w:val="clear" w:color="auto" w:fill="E1DFDD"/>
    </w:rPr>
  </w:style>
  <w:style w:type="paragraph" w:styleId="Revision">
    <w:name w:val="Revision"/>
    <w:hidden/>
    <w:uiPriority w:val="99"/>
    <w:semiHidden/>
    <w:rsid w:val="009C4FD9"/>
    <w:pPr>
      <w:spacing w:after="0" w:line="240" w:lineRule="auto"/>
    </w:pPr>
  </w:style>
  <w:style w:type="character" w:styleId="FollowedHyperlink">
    <w:name w:val="FollowedHyperlink"/>
    <w:basedOn w:val="DefaultParagraphFont"/>
    <w:uiPriority w:val="99"/>
    <w:semiHidden/>
    <w:unhideWhenUsed/>
    <w:rsid w:val="0036559E"/>
    <w:rPr>
      <w:color w:val="954F72" w:themeColor="followedHyperlink"/>
      <w:u w:val="single"/>
    </w:rPr>
  </w:style>
  <w:style w:type="table" w:styleId="TableGrid">
    <w:name w:val="Table Grid"/>
    <w:basedOn w:val="TableNormal"/>
    <w:uiPriority w:val="39"/>
    <w:rsid w:val="0068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42988">
      <w:bodyDiv w:val="1"/>
      <w:marLeft w:val="0"/>
      <w:marRight w:val="0"/>
      <w:marTop w:val="0"/>
      <w:marBottom w:val="0"/>
      <w:divBdr>
        <w:top w:val="none" w:sz="0" w:space="0" w:color="auto"/>
        <w:left w:val="none" w:sz="0" w:space="0" w:color="auto"/>
        <w:bottom w:val="none" w:sz="0" w:space="0" w:color="auto"/>
        <w:right w:val="none" w:sz="0" w:space="0" w:color="auto"/>
      </w:divBdr>
    </w:div>
    <w:div w:id="17138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67f67d-eb0b-410c-8668-2a81ac2feb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54F86DEA09E84A863FA0C284EFE1C7" ma:contentTypeVersion="5" ma:contentTypeDescription="Create a new document." ma:contentTypeScope="" ma:versionID="6699161149c86a5bb2cf7e6677910021">
  <xsd:schema xmlns:xsd="http://www.w3.org/2001/XMLSchema" xmlns:xs="http://www.w3.org/2001/XMLSchema" xmlns:p="http://schemas.microsoft.com/office/2006/metadata/properties" xmlns:ns2="ec67f67d-eb0b-410c-8668-2a81ac2febe2" xmlns:ns3="148106ca-3b6a-4a40-8164-bda2b7188100" targetNamespace="http://schemas.microsoft.com/office/2006/metadata/properties" ma:root="true" ma:fieldsID="7140f029997a650530bd3d5754e45d52" ns2:_="" ns3:_="">
    <xsd:import namespace="ec67f67d-eb0b-410c-8668-2a81ac2febe2"/>
    <xsd:import namespace="148106ca-3b6a-4a40-8164-bda2b7188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7f67d-eb0b-410c-8668-2a81ac2fe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106ca-3b6a-4a40-8164-bda2b7188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8E51-B1C6-4163-9208-C05CA0EF1B60}">
  <ds:schemaRefs>
    <ds:schemaRef ds:uri="http://schemas.microsoft.com/office/2006/metadata/properties"/>
    <ds:schemaRef ds:uri="http://schemas.microsoft.com/office/infopath/2007/PartnerControls"/>
    <ds:schemaRef ds:uri="ec67f67d-eb0b-410c-8668-2a81ac2febe2"/>
  </ds:schemaRefs>
</ds:datastoreItem>
</file>

<file path=customXml/itemProps2.xml><?xml version="1.0" encoding="utf-8"?>
<ds:datastoreItem xmlns:ds="http://schemas.openxmlformats.org/officeDocument/2006/customXml" ds:itemID="{932C6BD2-4060-4E54-A2DA-7BE2CF491BF1}">
  <ds:schemaRefs>
    <ds:schemaRef ds:uri="http://schemas.openxmlformats.org/officeDocument/2006/bibliography"/>
  </ds:schemaRefs>
</ds:datastoreItem>
</file>

<file path=customXml/itemProps3.xml><?xml version="1.0" encoding="utf-8"?>
<ds:datastoreItem xmlns:ds="http://schemas.openxmlformats.org/officeDocument/2006/customXml" ds:itemID="{DE0BFF70-BF80-457D-AA4E-2450E06B132E}">
  <ds:schemaRefs>
    <ds:schemaRef ds:uri="http://schemas.microsoft.com/sharepoint/v3/contenttype/forms"/>
  </ds:schemaRefs>
</ds:datastoreItem>
</file>

<file path=customXml/itemProps4.xml><?xml version="1.0" encoding="utf-8"?>
<ds:datastoreItem xmlns:ds="http://schemas.openxmlformats.org/officeDocument/2006/customXml" ds:itemID="{BA0FB00A-165C-448D-8990-44EA5EAB3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7f67d-eb0b-410c-8668-2a81ac2febe2"/>
    <ds:schemaRef ds:uri="148106ca-3b6a-4a40-8164-bda2b7188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2058</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Ministers’ Meeting – Priorities until 2025</dc:title>
  <dc:subject/>
  <dc:creator>Australian Government Department of Health and Aged Care</dc:creator>
  <cp:keywords/>
  <dc:description/>
  <cp:lastModifiedBy>ARNOLD, Max</cp:lastModifiedBy>
  <cp:revision>3</cp:revision>
  <cp:lastPrinted>2023-03-20T04:13:00Z</cp:lastPrinted>
  <dcterms:created xsi:type="dcterms:W3CDTF">2023-11-23T04:45:00Z</dcterms:created>
  <dcterms:modified xsi:type="dcterms:W3CDTF">2023-11-23T04:48:00Z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0x0101009D54F86DEA09E84A863FA0C284EFE1C7</vt:lpwstr>
  </property>
</Properties>
</file>