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7F67" w14:textId="63AE7F1C" w:rsidR="00095ACA" w:rsidRPr="00A949A5" w:rsidRDefault="00095ACA" w:rsidP="007D5825">
      <w:pPr>
        <w:spacing w:after="0" w:line="276" w:lineRule="auto"/>
        <w:jc w:val="both"/>
        <w:rPr>
          <w:rFonts w:cstheme="minorHAnsi"/>
        </w:rPr>
      </w:pPr>
      <w:r w:rsidRPr="00A949A5">
        <w:rPr>
          <w:rFonts w:cstheme="minorHAnsi"/>
        </w:rPr>
        <w:t>1</w:t>
      </w:r>
      <w:r w:rsidR="00277B12" w:rsidRPr="00A949A5">
        <w:rPr>
          <w:rFonts w:cstheme="minorHAnsi"/>
        </w:rPr>
        <w:t>6</w:t>
      </w:r>
      <w:r w:rsidRPr="00A949A5">
        <w:rPr>
          <w:rFonts w:cstheme="minorHAnsi"/>
        </w:rPr>
        <w:t xml:space="preserve"> </w:t>
      </w:r>
      <w:r w:rsidR="00277B12" w:rsidRPr="00A949A5">
        <w:rPr>
          <w:rFonts w:cstheme="minorHAnsi"/>
        </w:rPr>
        <w:t>March</w:t>
      </w:r>
      <w:r w:rsidRPr="00A949A5">
        <w:rPr>
          <w:rFonts w:cstheme="minorHAnsi"/>
        </w:rPr>
        <w:t xml:space="preserve"> 202</w:t>
      </w:r>
      <w:r w:rsidR="00277B12" w:rsidRPr="00A949A5">
        <w:rPr>
          <w:rFonts w:cstheme="minorHAnsi"/>
        </w:rPr>
        <w:t>1</w:t>
      </w:r>
    </w:p>
    <w:p w14:paraId="0E1C294F" w14:textId="5D12A6AB" w:rsidR="00095ACA" w:rsidRPr="00A949A5" w:rsidRDefault="00910AAC" w:rsidP="0014049D">
      <w:pPr>
        <w:spacing w:after="0" w:line="276" w:lineRule="auto"/>
        <w:rPr>
          <w:rFonts w:cstheme="minorHAnsi"/>
        </w:rPr>
      </w:pPr>
      <w:r w:rsidRPr="007D5825">
        <w:rPr>
          <w:rFonts w:cstheme="minorHAnsi"/>
          <w:color w:val="222222"/>
          <w:shd w:val="clear" w:color="auto" w:fill="FFFFFF"/>
        </w:rPr>
        <w:t>Office of the Gene Technology Regulator (MDP 54)</w:t>
      </w:r>
      <w:r w:rsidRPr="007D5825">
        <w:rPr>
          <w:rFonts w:cstheme="minorHAnsi"/>
          <w:color w:val="222222"/>
        </w:rPr>
        <w:br/>
      </w:r>
      <w:r w:rsidRPr="007D5825">
        <w:rPr>
          <w:rFonts w:cstheme="minorHAnsi"/>
          <w:color w:val="222222"/>
          <w:shd w:val="clear" w:color="auto" w:fill="FFFFFF"/>
        </w:rPr>
        <w:t>GPO Box 9848</w:t>
      </w:r>
      <w:r w:rsidRPr="007D5825">
        <w:rPr>
          <w:rFonts w:cstheme="minorHAnsi"/>
          <w:color w:val="222222"/>
        </w:rPr>
        <w:br/>
      </w:r>
      <w:r w:rsidRPr="007D5825">
        <w:rPr>
          <w:rFonts w:cstheme="minorHAnsi"/>
          <w:color w:val="222222"/>
          <w:shd w:val="clear" w:color="auto" w:fill="FFFFFF"/>
        </w:rPr>
        <w:t>Canberra ACT 2601</w:t>
      </w:r>
    </w:p>
    <w:p w14:paraId="696969EE" w14:textId="27C86229" w:rsidR="00095ACA" w:rsidRPr="00A949A5" w:rsidRDefault="0014049D" w:rsidP="007D5825">
      <w:pPr>
        <w:spacing w:after="0" w:line="276" w:lineRule="auto"/>
        <w:rPr>
          <w:rFonts w:cstheme="minorHAnsi"/>
        </w:rPr>
      </w:pPr>
      <w:hyperlink r:id="rId8" w:history="1">
        <w:r w:rsidR="001F35D5" w:rsidRPr="00A949A5">
          <w:rPr>
            <w:rStyle w:val="Hyperlink"/>
            <w:rFonts w:cstheme="minorHAnsi"/>
          </w:rPr>
          <w:t>ogtr@health.gov.au</w:t>
        </w:r>
      </w:hyperlink>
    </w:p>
    <w:p w14:paraId="1D031BDD" w14:textId="68B8F683" w:rsidR="00095ACA" w:rsidRPr="0014049D" w:rsidRDefault="00095ACA" w:rsidP="0014049D">
      <w:pPr>
        <w:pStyle w:val="Title"/>
      </w:pPr>
      <w:r w:rsidRPr="0014049D">
        <w:t xml:space="preserve">RE: </w:t>
      </w:r>
      <w:r w:rsidR="00514CC1" w:rsidRPr="0014049D">
        <w:t>National Gene Technology Scheme, Consultation Regulation Impact Statement (CRIS</w:t>
      </w:r>
      <w:r w:rsidR="0004037A" w:rsidRPr="0014049D">
        <w:t>)</w:t>
      </w:r>
    </w:p>
    <w:p w14:paraId="5B287C30" w14:textId="64756F46" w:rsidR="00011062" w:rsidRDefault="00095ACA" w:rsidP="00A949A5">
      <w:pPr>
        <w:spacing w:after="0" w:line="276" w:lineRule="auto"/>
        <w:jc w:val="both"/>
        <w:rPr>
          <w:rFonts w:cstheme="minorHAnsi"/>
        </w:rPr>
      </w:pPr>
      <w:r w:rsidRPr="00A949A5">
        <w:rPr>
          <w:rFonts w:cstheme="minorHAnsi"/>
        </w:rPr>
        <w:t xml:space="preserve">Thank you to the </w:t>
      </w:r>
      <w:r w:rsidR="0004037A" w:rsidRPr="00A949A5">
        <w:rPr>
          <w:rFonts w:cstheme="minorHAnsi"/>
        </w:rPr>
        <w:t xml:space="preserve">Department of </w:t>
      </w:r>
      <w:r w:rsidRPr="00A949A5">
        <w:rPr>
          <w:rFonts w:cstheme="minorHAnsi"/>
        </w:rPr>
        <w:t>Health, Aged Care and Sport for the opportunity to provide a submission to the ‘</w:t>
      </w:r>
      <w:r w:rsidR="0004037A" w:rsidRPr="007D5825">
        <w:rPr>
          <w:rFonts w:cstheme="minorHAnsi"/>
        </w:rPr>
        <w:t>National Gene Technology Scheme, Consultation Regulation Impact Statement</w:t>
      </w:r>
      <w:r w:rsidR="00921652" w:rsidRPr="00A949A5">
        <w:rPr>
          <w:rFonts w:cstheme="minorHAnsi"/>
        </w:rPr>
        <w:t>’</w:t>
      </w:r>
      <w:r w:rsidRPr="00A949A5">
        <w:rPr>
          <w:rFonts w:cstheme="minorHAnsi"/>
        </w:rPr>
        <w:t xml:space="preserve">. </w:t>
      </w:r>
    </w:p>
    <w:p w14:paraId="03DDD086" w14:textId="0A0E26CE" w:rsidR="00921652" w:rsidRPr="0014049D" w:rsidRDefault="00921652" w:rsidP="0014049D">
      <w:pPr>
        <w:pStyle w:val="Heading1"/>
      </w:pPr>
      <w:r w:rsidRPr="0014049D">
        <w:t>The Rare Disease Industry Working Group (RDIWG)</w:t>
      </w:r>
    </w:p>
    <w:p w14:paraId="0499E68D" w14:textId="25C3BF9B" w:rsidR="004B6B95" w:rsidRPr="00A949A5" w:rsidRDefault="00FA7E2F" w:rsidP="007D5825">
      <w:pPr>
        <w:spacing w:after="0" w:line="276" w:lineRule="auto"/>
        <w:jc w:val="both"/>
        <w:rPr>
          <w:rFonts w:cstheme="minorHAnsi"/>
        </w:rPr>
      </w:pPr>
      <w:r w:rsidRPr="00A949A5">
        <w:rPr>
          <w:rFonts w:cstheme="minorHAnsi"/>
        </w:rPr>
        <w:t xml:space="preserve">The </w:t>
      </w:r>
      <w:r w:rsidR="00DB106B" w:rsidRPr="00A949A5">
        <w:rPr>
          <w:rFonts w:cstheme="minorHAnsi"/>
        </w:rPr>
        <w:t>RDIWG</w:t>
      </w:r>
      <w:r w:rsidR="00644AF8" w:rsidRPr="00A949A5">
        <w:rPr>
          <w:rFonts w:cstheme="minorHAnsi"/>
        </w:rPr>
        <w:t xml:space="preserve"> is </w:t>
      </w:r>
      <w:r w:rsidR="00DB106B" w:rsidRPr="00A949A5">
        <w:rPr>
          <w:rFonts w:cstheme="minorHAnsi"/>
        </w:rPr>
        <w:t xml:space="preserve">comprised of companies </w:t>
      </w:r>
      <w:r w:rsidR="004B6B95" w:rsidRPr="00A949A5">
        <w:rPr>
          <w:rFonts w:cstheme="minorHAnsi"/>
        </w:rPr>
        <w:t xml:space="preserve">that </w:t>
      </w:r>
      <w:r w:rsidR="00DB106B" w:rsidRPr="00A949A5">
        <w:rPr>
          <w:rFonts w:cstheme="minorHAnsi"/>
        </w:rPr>
        <w:t>share a common interest in rare disease treatments and orphan drug development</w:t>
      </w:r>
      <w:r w:rsidR="00F40AB3" w:rsidRPr="00A949A5">
        <w:rPr>
          <w:rFonts w:cstheme="minorHAnsi"/>
        </w:rPr>
        <w:t xml:space="preserve"> </w:t>
      </w:r>
      <w:r w:rsidR="009B0441" w:rsidRPr="00A949A5">
        <w:rPr>
          <w:rFonts w:cstheme="minorHAnsi"/>
        </w:rPr>
        <w:t>including gene therapies</w:t>
      </w:r>
      <w:r w:rsidR="00DB106B" w:rsidRPr="00A949A5">
        <w:rPr>
          <w:rFonts w:cstheme="minorHAnsi"/>
        </w:rPr>
        <w:t xml:space="preserve">. The companies that are represented </w:t>
      </w:r>
      <w:r w:rsidR="009B0441" w:rsidRPr="00A949A5">
        <w:rPr>
          <w:rFonts w:cstheme="minorHAnsi"/>
        </w:rPr>
        <w:t xml:space="preserve">here </w:t>
      </w:r>
      <w:r w:rsidR="00065514" w:rsidRPr="00A949A5">
        <w:rPr>
          <w:rFonts w:cstheme="minorHAnsi"/>
        </w:rPr>
        <w:t>develop</w:t>
      </w:r>
      <w:r w:rsidR="00DB106B" w:rsidRPr="00A949A5">
        <w:rPr>
          <w:rFonts w:cstheme="minorHAnsi"/>
        </w:rPr>
        <w:t xml:space="preserve">, </w:t>
      </w:r>
      <w:proofErr w:type="gramStart"/>
      <w:r w:rsidR="00DB106B" w:rsidRPr="00A949A5">
        <w:rPr>
          <w:rFonts w:cstheme="minorHAnsi"/>
        </w:rPr>
        <w:t>manufacture</w:t>
      </w:r>
      <w:proofErr w:type="gramEnd"/>
      <w:r w:rsidR="00DB106B" w:rsidRPr="00A949A5">
        <w:rPr>
          <w:rFonts w:cstheme="minorHAnsi"/>
        </w:rPr>
        <w:t xml:space="preserve"> and supply innovative rare disease treatments to the Australian </w:t>
      </w:r>
      <w:r w:rsidR="008A77C6" w:rsidRPr="00A949A5">
        <w:rPr>
          <w:rFonts w:cstheme="minorHAnsi"/>
        </w:rPr>
        <w:t>rare</w:t>
      </w:r>
      <w:r w:rsidR="00065514" w:rsidRPr="00A949A5">
        <w:rPr>
          <w:rFonts w:cstheme="minorHAnsi"/>
        </w:rPr>
        <w:t xml:space="preserve"> </w:t>
      </w:r>
      <w:r w:rsidR="008A77C6" w:rsidRPr="00A949A5">
        <w:rPr>
          <w:rFonts w:cstheme="minorHAnsi"/>
        </w:rPr>
        <w:t xml:space="preserve">disease community.   </w:t>
      </w:r>
    </w:p>
    <w:p w14:paraId="4E4E0658" w14:textId="58D6A112" w:rsidR="00011062" w:rsidRDefault="00DB106B" w:rsidP="00A949A5">
      <w:pPr>
        <w:spacing w:after="0" w:line="276" w:lineRule="auto"/>
        <w:jc w:val="both"/>
        <w:rPr>
          <w:rFonts w:cstheme="minorHAnsi"/>
        </w:rPr>
      </w:pPr>
      <w:r w:rsidRPr="00A949A5">
        <w:rPr>
          <w:rFonts w:cstheme="minorHAnsi"/>
        </w:rPr>
        <w:t xml:space="preserve">The purpose </w:t>
      </w:r>
      <w:r w:rsidR="008A77C6" w:rsidRPr="00A949A5">
        <w:rPr>
          <w:rFonts w:cstheme="minorHAnsi"/>
        </w:rPr>
        <w:t>of the RDIWG is to collaborate to</w:t>
      </w:r>
      <w:r w:rsidR="00B550BE" w:rsidRPr="00A949A5">
        <w:rPr>
          <w:rFonts w:cstheme="minorHAnsi"/>
        </w:rPr>
        <w:t xml:space="preserve"> ensure that Australians with rare and ultra-rare diseases have timely and equitable access to treatments </w:t>
      </w:r>
      <w:r w:rsidR="008A77C6" w:rsidRPr="00A949A5">
        <w:rPr>
          <w:rFonts w:cstheme="minorHAnsi"/>
        </w:rPr>
        <w:t xml:space="preserve">by: </w:t>
      </w:r>
    </w:p>
    <w:p w14:paraId="08D23204" w14:textId="0410CCE5" w:rsidR="00410AC1" w:rsidRPr="00A949A5" w:rsidRDefault="00410AC1" w:rsidP="007D5825">
      <w:pPr>
        <w:pStyle w:val="ListParagraph"/>
        <w:numPr>
          <w:ilvl w:val="0"/>
          <w:numId w:val="29"/>
        </w:numPr>
        <w:spacing w:after="0" w:line="276" w:lineRule="auto"/>
        <w:contextualSpacing w:val="0"/>
        <w:jc w:val="both"/>
        <w:rPr>
          <w:rFonts w:cstheme="minorHAnsi"/>
        </w:rPr>
      </w:pPr>
      <w:r w:rsidRPr="00A949A5">
        <w:rPr>
          <w:rFonts w:cstheme="minorHAnsi"/>
        </w:rPr>
        <w:t>engaging in policy discussions to ensure timely and sustainable access to rare disease treatments</w:t>
      </w:r>
      <w:r w:rsidR="00A949A5" w:rsidRPr="00A949A5">
        <w:rPr>
          <w:rFonts w:cstheme="minorHAnsi"/>
        </w:rPr>
        <w:t>, and</w:t>
      </w:r>
    </w:p>
    <w:p w14:paraId="5F9F5DC4" w14:textId="70A2C101" w:rsidR="00011062" w:rsidRPr="0014049D" w:rsidRDefault="008A77C6" w:rsidP="0014049D">
      <w:pPr>
        <w:pStyle w:val="ListParagraph"/>
        <w:numPr>
          <w:ilvl w:val="0"/>
          <w:numId w:val="29"/>
        </w:numPr>
        <w:spacing w:after="0" w:line="276" w:lineRule="auto"/>
        <w:contextualSpacing w:val="0"/>
        <w:jc w:val="both"/>
        <w:rPr>
          <w:rFonts w:cstheme="minorHAnsi"/>
        </w:rPr>
      </w:pPr>
      <w:r w:rsidRPr="00A949A5">
        <w:rPr>
          <w:rFonts w:cstheme="minorHAnsi"/>
        </w:rPr>
        <w:t>ensuring that reimbursement procedures and guidelines are fit-for-purpose</w:t>
      </w:r>
      <w:r w:rsidR="00A949A5">
        <w:rPr>
          <w:rFonts w:cstheme="minorHAnsi"/>
        </w:rPr>
        <w:t>.</w:t>
      </w:r>
    </w:p>
    <w:p w14:paraId="3331F925" w14:textId="60665500" w:rsidR="00C52495" w:rsidRDefault="004B6B95" w:rsidP="00A949A5">
      <w:pPr>
        <w:spacing w:after="0" w:line="276" w:lineRule="auto"/>
        <w:jc w:val="both"/>
        <w:rPr>
          <w:rFonts w:cstheme="minorHAnsi"/>
        </w:rPr>
      </w:pPr>
      <w:r w:rsidRPr="00A949A5">
        <w:rPr>
          <w:rFonts w:cstheme="minorHAnsi"/>
        </w:rPr>
        <w:t xml:space="preserve">Within the RDIWG, there is a </w:t>
      </w:r>
      <w:r w:rsidR="00C52495" w:rsidRPr="00A949A5">
        <w:rPr>
          <w:rFonts w:cstheme="minorHAnsi"/>
        </w:rPr>
        <w:t>sub</w:t>
      </w:r>
      <w:r w:rsidR="00B76CBC" w:rsidRPr="00A949A5">
        <w:rPr>
          <w:rFonts w:cstheme="minorHAnsi"/>
        </w:rPr>
        <w:t>-</w:t>
      </w:r>
      <w:r w:rsidR="00C52495" w:rsidRPr="00A949A5">
        <w:rPr>
          <w:rFonts w:cstheme="minorHAnsi"/>
        </w:rPr>
        <w:t>committee</w:t>
      </w:r>
      <w:r w:rsidRPr="00A949A5">
        <w:rPr>
          <w:rFonts w:cstheme="minorHAnsi"/>
        </w:rPr>
        <w:t xml:space="preserve"> focusing on </w:t>
      </w:r>
      <w:r w:rsidR="00A949A5" w:rsidRPr="00A949A5">
        <w:rPr>
          <w:rFonts w:cstheme="minorHAnsi"/>
        </w:rPr>
        <w:t xml:space="preserve">cell and </w:t>
      </w:r>
      <w:r w:rsidRPr="00A949A5">
        <w:rPr>
          <w:rFonts w:cstheme="minorHAnsi"/>
        </w:rPr>
        <w:t xml:space="preserve">gene therapies, for companies with an interest in this space. </w:t>
      </w:r>
      <w:r w:rsidR="00C52495" w:rsidRPr="00A949A5">
        <w:rPr>
          <w:rFonts w:cstheme="minorHAnsi"/>
        </w:rPr>
        <w:t xml:space="preserve">This submission is being made on behalf of this Sub-Committee. </w:t>
      </w:r>
    </w:p>
    <w:p w14:paraId="4CDB3DFD" w14:textId="3CA31DBC" w:rsidR="00BE5492" w:rsidRDefault="00D30BA0" w:rsidP="00A949A5">
      <w:pPr>
        <w:spacing w:after="0" w:line="276" w:lineRule="auto"/>
        <w:jc w:val="both"/>
        <w:rPr>
          <w:rFonts w:cstheme="minorHAnsi"/>
        </w:rPr>
      </w:pPr>
      <w:r w:rsidRPr="00A949A5">
        <w:rPr>
          <w:rFonts w:cstheme="minorHAnsi"/>
        </w:rPr>
        <w:t xml:space="preserve">Gene Therapies represent an </w:t>
      </w:r>
      <w:r w:rsidR="00245956" w:rsidRPr="00A949A5">
        <w:rPr>
          <w:rFonts w:cstheme="minorHAnsi"/>
        </w:rPr>
        <w:t xml:space="preserve">exciting and rapidly evolving mode of </w:t>
      </w:r>
      <w:r w:rsidR="00BE5492" w:rsidRPr="00A949A5">
        <w:rPr>
          <w:rFonts w:cstheme="minorHAnsi"/>
        </w:rPr>
        <w:t>precision medicine</w:t>
      </w:r>
      <w:r w:rsidR="000563FB" w:rsidRPr="00A949A5">
        <w:rPr>
          <w:rFonts w:cstheme="minorHAnsi"/>
        </w:rPr>
        <w:t xml:space="preserve"> </w:t>
      </w:r>
      <w:r w:rsidR="00BE5492" w:rsidRPr="00A949A5">
        <w:rPr>
          <w:rFonts w:cstheme="minorHAnsi"/>
        </w:rPr>
        <w:t>r</w:t>
      </w:r>
      <w:r w:rsidR="000563FB" w:rsidRPr="00A949A5">
        <w:rPr>
          <w:rFonts w:cstheme="minorHAnsi"/>
        </w:rPr>
        <w:t>epresenting potentially curative and/or disease modifying solutions to patients suffering from rare genetic disorders.</w:t>
      </w:r>
    </w:p>
    <w:p w14:paraId="0B1D34E5" w14:textId="538BFBBF" w:rsidR="00BF6518" w:rsidRPr="00A949A5" w:rsidRDefault="00DA0BEA" w:rsidP="007D5825">
      <w:pPr>
        <w:spacing w:after="0" w:line="276" w:lineRule="auto"/>
        <w:jc w:val="both"/>
        <w:rPr>
          <w:rFonts w:cstheme="minorHAnsi"/>
        </w:rPr>
      </w:pPr>
      <w:r w:rsidRPr="00A949A5">
        <w:rPr>
          <w:rFonts w:cstheme="minorHAnsi"/>
        </w:rPr>
        <w:t xml:space="preserve">Australia remains a </w:t>
      </w:r>
      <w:r w:rsidR="00472F28" w:rsidRPr="00A949A5">
        <w:rPr>
          <w:rFonts w:cstheme="minorHAnsi"/>
        </w:rPr>
        <w:t>priority</w:t>
      </w:r>
      <w:r w:rsidRPr="00A949A5">
        <w:rPr>
          <w:rFonts w:cstheme="minorHAnsi"/>
        </w:rPr>
        <w:t xml:space="preserve"> destination for </w:t>
      </w:r>
      <w:r w:rsidR="00EE43ED" w:rsidRPr="00A949A5">
        <w:rPr>
          <w:rFonts w:cstheme="minorHAnsi"/>
        </w:rPr>
        <w:t>international multi</w:t>
      </w:r>
      <w:r w:rsidR="005071A0" w:rsidRPr="00A949A5">
        <w:rPr>
          <w:rFonts w:cstheme="minorHAnsi"/>
        </w:rPr>
        <w:t>-</w:t>
      </w:r>
      <w:r w:rsidR="00EE43ED" w:rsidRPr="00A949A5">
        <w:rPr>
          <w:rFonts w:cstheme="minorHAnsi"/>
        </w:rPr>
        <w:t>centre clinical trials</w:t>
      </w:r>
      <w:r w:rsidR="004B6B95" w:rsidRPr="00A949A5">
        <w:rPr>
          <w:rFonts w:cstheme="minorHAnsi"/>
        </w:rPr>
        <w:t>,</w:t>
      </w:r>
      <w:r w:rsidR="00EE43ED" w:rsidRPr="00A949A5">
        <w:rPr>
          <w:rFonts w:cstheme="minorHAnsi"/>
        </w:rPr>
        <w:t xml:space="preserve"> includ</w:t>
      </w:r>
      <w:r w:rsidR="004B6B95" w:rsidRPr="00A949A5">
        <w:rPr>
          <w:rFonts w:cstheme="minorHAnsi"/>
        </w:rPr>
        <w:t>ing</w:t>
      </w:r>
      <w:r w:rsidR="00EE43ED" w:rsidRPr="00A949A5">
        <w:rPr>
          <w:rFonts w:cstheme="minorHAnsi"/>
        </w:rPr>
        <w:t xml:space="preserve"> Gene therapies </w:t>
      </w:r>
      <w:r w:rsidR="0089554F" w:rsidRPr="00A949A5">
        <w:rPr>
          <w:rFonts w:cstheme="minorHAnsi"/>
        </w:rPr>
        <w:t>where trials are already ongoing in Australia.</w:t>
      </w:r>
      <w:r w:rsidR="00410AC1" w:rsidRPr="00A949A5">
        <w:rPr>
          <w:rFonts w:cstheme="minorHAnsi"/>
        </w:rPr>
        <w:t xml:space="preserve"> </w:t>
      </w:r>
    </w:p>
    <w:p w14:paraId="75EB23EF" w14:textId="611DBC75" w:rsidR="00B97C81" w:rsidRDefault="00C52495" w:rsidP="00A949A5">
      <w:pPr>
        <w:spacing w:after="0" w:line="276" w:lineRule="auto"/>
        <w:jc w:val="both"/>
        <w:rPr>
          <w:rFonts w:cstheme="minorHAnsi"/>
        </w:rPr>
      </w:pPr>
      <w:r w:rsidRPr="00A949A5">
        <w:rPr>
          <w:rFonts w:cstheme="minorHAnsi"/>
        </w:rPr>
        <w:t>T</w:t>
      </w:r>
      <w:r w:rsidR="00FE466B" w:rsidRPr="00A949A5">
        <w:rPr>
          <w:rFonts w:cstheme="minorHAnsi"/>
        </w:rPr>
        <w:t xml:space="preserve">o ensure that Australians suffering from rare genetic disorders have </w:t>
      </w:r>
      <w:r w:rsidR="00503A04" w:rsidRPr="00A949A5">
        <w:rPr>
          <w:rFonts w:cstheme="minorHAnsi"/>
        </w:rPr>
        <w:t xml:space="preserve">timely </w:t>
      </w:r>
      <w:r w:rsidR="00CA4FC8" w:rsidRPr="00A949A5">
        <w:rPr>
          <w:rFonts w:cstheme="minorHAnsi"/>
        </w:rPr>
        <w:t xml:space="preserve">access to </w:t>
      </w:r>
      <w:r w:rsidR="00321D32" w:rsidRPr="00A949A5">
        <w:rPr>
          <w:rFonts w:cstheme="minorHAnsi"/>
        </w:rPr>
        <w:t xml:space="preserve">Gene Therapy </w:t>
      </w:r>
      <w:r w:rsidR="00CA4FC8" w:rsidRPr="00A949A5">
        <w:rPr>
          <w:rFonts w:cstheme="minorHAnsi"/>
        </w:rPr>
        <w:t xml:space="preserve">clinical trials, a </w:t>
      </w:r>
      <w:r w:rsidR="000A710C" w:rsidRPr="00A949A5">
        <w:rPr>
          <w:rFonts w:cstheme="minorHAnsi"/>
        </w:rPr>
        <w:t>streamlined, risk</w:t>
      </w:r>
      <w:r w:rsidR="004B2880" w:rsidRPr="00A949A5">
        <w:rPr>
          <w:rFonts w:cstheme="minorHAnsi"/>
        </w:rPr>
        <w:t>-</w:t>
      </w:r>
      <w:r w:rsidR="000A710C" w:rsidRPr="00A949A5">
        <w:rPr>
          <w:rFonts w:cstheme="minorHAnsi"/>
        </w:rPr>
        <w:t>based approach to assessing and approving</w:t>
      </w:r>
      <w:r w:rsidR="00321D32" w:rsidRPr="00A949A5">
        <w:rPr>
          <w:rFonts w:cstheme="minorHAnsi"/>
        </w:rPr>
        <w:t xml:space="preserve"> these technologies </w:t>
      </w:r>
      <w:r w:rsidR="004B6B95" w:rsidRPr="00A949A5">
        <w:rPr>
          <w:rFonts w:cstheme="minorHAnsi"/>
        </w:rPr>
        <w:t xml:space="preserve">for use in clinical trials, </w:t>
      </w:r>
      <w:r w:rsidR="00321D32" w:rsidRPr="00A949A5">
        <w:rPr>
          <w:rFonts w:cstheme="minorHAnsi"/>
        </w:rPr>
        <w:t>is vital</w:t>
      </w:r>
      <w:r w:rsidR="004B6B95" w:rsidRPr="00A949A5">
        <w:rPr>
          <w:rFonts w:cstheme="minorHAnsi"/>
        </w:rPr>
        <w:t xml:space="preserve"> (this is discussed in more detail overleaf).</w:t>
      </w:r>
    </w:p>
    <w:p w14:paraId="3195A579" w14:textId="56D5106E" w:rsidR="0089554F" w:rsidRDefault="00B97C81" w:rsidP="00A949A5">
      <w:pPr>
        <w:spacing w:after="0" w:line="276" w:lineRule="auto"/>
        <w:jc w:val="both"/>
        <w:rPr>
          <w:rFonts w:cstheme="minorHAnsi"/>
        </w:rPr>
      </w:pPr>
      <w:r w:rsidRPr="00A949A5">
        <w:rPr>
          <w:rFonts w:cstheme="minorHAnsi"/>
        </w:rPr>
        <w:t>U</w:t>
      </w:r>
      <w:r w:rsidR="00763BDD" w:rsidRPr="00A949A5">
        <w:rPr>
          <w:rFonts w:cstheme="minorHAnsi"/>
        </w:rPr>
        <w:t xml:space="preserve">nder the current proposed </w:t>
      </w:r>
      <w:r w:rsidR="000769AE" w:rsidRPr="00A949A5">
        <w:rPr>
          <w:rFonts w:cstheme="minorHAnsi"/>
        </w:rPr>
        <w:t>consultation, The RDIWG</w:t>
      </w:r>
      <w:r w:rsidR="00410AC1" w:rsidRPr="00A949A5">
        <w:rPr>
          <w:rFonts w:cstheme="minorHAnsi"/>
        </w:rPr>
        <w:t>’s position</w:t>
      </w:r>
      <w:r w:rsidR="000769AE" w:rsidRPr="00A949A5">
        <w:rPr>
          <w:rFonts w:cstheme="minorHAnsi"/>
        </w:rPr>
        <w:t xml:space="preserve"> </w:t>
      </w:r>
      <w:r w:rsidR="004B6B95" w:rsidRPr="00A949A5">
        <w:rPr>
          <w:rFonts w:cstheme="minorHAnsi"/>
        </w:rPr>
        <w:t xml:space="preserve">is </w:t>
      </w:r>
      <w:r w:rsidR="000900EC" w:rsidRPr="00A949A5">
        <w:rPr>
          <w:rFonts w:cstheme="minorHAnsi"/>
        </w:rPr>
        <w:t>that the Status Quo (Option A) is no longer fit for purpose.</w:t>
      </w:r>
      <w:r w:rsidR="00701F7F" w:rsidRPr="00A949A5">
        <w:rPr>
          <w:rFonts w:cstheme="minorHAnsi"/>
        </w:rPr>
        <w:t xml:space="preserve"> </w:t>
      </w:r>
      <w:r w:rsidR="00610991" w:rsidRPr="00A949A5">
        <w:rPr>
          <w:rFonts w:cstheme="minorHAnsi"/>
        </w:rPr>
        <w:t xml:space="preserve"> </w:t>
      </w:r>
      <w:r w:rsidR="00ED4270" w:rsidRPr="00A949A5">
        <w:rPr>
          <w:rFonts w:cstheme="minorHAnsi"/>
        </w:rPr>
        <w:t xml:space="preserve">The recent </w:t>
      </w:r>
      <w:r w:rsidR="00E262EB" w:rsidRPr="00A949A5">
        <w:rPr>
          <w:rFonts w:cstheme="minorHAnsi"/>
        </w:rPr>
        <w:t>Australian House of Representatives Standing Committee on Health, Aged Care and Sport – Inquiry into approval processes for new drugs and novel medical technologies in Australia</w:t>
      </w:r>
      <w:r w:rsidR="00410AC1" w:rsidRPr="00A949A5">
        <w:rPr>
          <w:rFonts w:cstheme="minorHAnsi"/>
        </w:rPr>
        <w:t>,</w:t>
      </w:r>
      <w:r w:rsidR="008E2D9A" w:rsidRPr="00A949A5">
        <w:rPr>
          <w:rFonts w:cstheme="minorHAnsi"/>
        </w:rPr>
        <w:t xml:space="preserve"> ha</w:t>
      </w:r>
      <w:r w:rsidR="00410AC1" w:rsidRPr="00A949A5">
        <w:rPr>
          <w:rFonts w:cstheme="minorHAnsi"/>
        </w:rPr>
        <w:t>s</w:t>
      </w:r>
      <w:r w:rsidR="008E2D9A" w:rsidRPr="00A949A5">
        <w:rPr>
          <w:rFonts w:cstheme="minorHAnsi"/>
        </w:rPr>
        <w:t xml:space="preserve"> received submissions that particularly highlight </w:t>
      </w:r>
      <w:r w:rsidR="004B6B95" w:rsidRPr="00A949A5">
        <w:rPr>
          <w:rFonts w:cstheme="minorHAnsi"/>
        </w:rPr>
        <w:t xml:space="preserve">significant </w:t>
      </w:r>
      <w:r w:rsidR="008E2D9A" w:rsidRPr="00A949A5">
        <w:rPr>
          <w:rFonts w:cstheme="minorHAnsi"/>
        </w:rPr>
        <w:t xml:space="preserve">delays </w:t>
      </w:r>
      <w:r w:rsidR="008B669B" w:rsidRPr="00A949A5">
        <w:rPr>
          <w:rFonts w:cstheme="minorHAnsi"/>
        </w:rPr>
        <w:t xml:space="preserve">in access to </w:t>
      </w:r>
      <w:r w:rsidR="00A949A5" w:rsidRPr="00A949A5">
        <w:rPr>
          <w:rFonts w:cstheme="minorHAnsi"/>
        </w:rPr>
        <w:t xml:space="preserve">Cell and </w:t>
      </w:r>
      <w:r w:rsidR="008B669B" w:rsidRPr="00A949A5">
        <w:rPr>
          <w:rFonts w:cstheme="minorHAnsi"/>
        </w:rPr>
        <w:t>Gene Therapies.</w:t>
      </w:r>
      <w:r w:rsidR="008E2D9A" w:rsidRPr="00A949A5">
        <w:rPr>
          <w:rFonts w:cstheme="minorHAnsi"/>
        </w:rPr>
        <w:t xml:space="preserve"> </w:t>
      </w:r>
    </w:p>
    <w:p w14:paraId="1F3B4D02" w14:textId="5F202CCD" w:rsidR="00423624" w:rsidRPr="00A949A5" w:rsidRDefault="004A21FE" w:rsidP="007D5825">
      <w:pPr>
        <w:spacing w:after="0" w:line="276" w:lineRule="auto"/>
        <w:jc w:val="both"/>
        <w:rPr>
          <w:rFonts w:cstheme="minorHAnsi"/>
        </w:rPr>
      </w:pPr>
      <w:r w:rsidRPr="00A949A5">
        <w:rPr>
          <w:rFonts w:cstheme="minorHAnsi"/>
        </w:rPr>
        <w:lastRenderedPageBreak/>
        <w:t>Considering</w:t>
      </w:r>
      <w:r w:rsidR="00423624" w:rsidRPr="00A949A5">
        <w:rPr>
          <w:rFonts w:cstheme="minorHAnsi"/>
        </w:rPr>
        <w:t xml:space="preserve"> the ongoing </w:t>
      </w:r>
      <w:r w:rsidR="000931A9" w:rsidRPr="00A949A5">
        <w:rPr>
          <w:rFonts w:cstheme="minorHAnsi"/>
        </w:rPr>
        <w:t>consultation</w:t>
      </w:r>
      <w:r w:rsidR="00510540" w:rsidRPr="00A949A5">
        <w:rPr>
          <w:rFonts w:cstheme="minorHAnsi"/>
        </w:rPr>
        <w:t>, the RDIWG would like to make recommendations pertain</w:t>
      </w:r>
      <w:r w:rsidR="004B6B95" w:rsidRPr="00A949A5">
        <w:rPr>
          <w:rFonts w:cstheme="minorHAnsi"/>
        </w:rPr>
        <w:t>ing</w:t>
      </w:r>
      <w:r w:rsidR="00510540" w:rsidRPr="00A949A5">
        <w:rPr>
          <w:rFonts w:cstheme="minorHAnsi"/>
        </w:rPr>
        <w:t xml:space="preserve"> to Gene Therapies</w:t>
      </w:r>
      <w:r w:rsidR="00F1522D" w:rsidRPr="00A949A5">
        <w:rPr>
          <w:rFonts w:cstheme="minorHAnsi"/>
        </w:rPr>
        <w:t xml:space="preserve"> specifically in relation to clinical trials and subsequent </w:t>
      </w:r>
      <w:r w:rsidR="00EA3413" w:rsidRPr="00A949A5">
        <w:rPr>
          <w:rFonts w:cstheme="minorHAnsi"/>
        </w:rPr>
        <w:t xml:space="preserve">regulatory </w:t>
      </w:r>
      <w:r w:rsidR="00F1522D" w:rsidRPr="00A949A5">
        <w:rPr>
          <w:rFonts w:cstheme="minorHAnsi"/>
        </w:rPr>
        <w:t>review.</w:t>
      </w:r>
    </w:p>
    <w:p w14:paraId="71B0416A" w14:textId="50735789" w:rsidR="00C52495" w:rsidRPr="0014049D" w:rsidRDefault="009B7BD1" w:rsidP="0014049D">
      <w:pPr>
        <w:pStyle w:val="ListParagraph"/>
        <w:numPr>
          <w:ilvl w:val="0"/>
          <w:numId w:val="18"/>
        </w:numPr>
        <w:spacing w:after="0" w:line="276" w:lineRule="auto"/>
        <w:contextualSpacing w:val="0"/>
        <w:jc w:val="both"/>
        <w:rPr>
          <w:rFonts w:eastAsia="Times New Roman" w:cstheme="minorHAnsi"/>
          <w:b/>
          <w:bCs/>
          <w:lang w:val="en-GB"/>
        </w:rPr>
      </w:pPr>
      <w:r w:rsidRPr="00A949A5">
        <w:rPr>
          <w:rFonts w:cstheme="minorHAnsi"/>
          <w:b/>
          <w:bCs/>
        </w:rPr>
        <w:t xml:space="preserve">Recommendation 1: </w:t>
      </w:r>
      <w:r w:rsidRPr="00A949A5">
        <w:rPr>
          <w:rFonts w:eastAsia="Times New Roman" w:cstheme="minorHAnsi"/>
          <w:b/>
          <w:bCs/>
        </w:rPr>
        <w:t>Update the Gene Technology Act and Gene Technology Regulations</w:t>
      </w:r>
      <w:r w:rsidR="0014049D">
        <w:rPr>
          <w:rFonts w:eastAsia="Times New Roman" w:cstheme="minorHAnsi"/>
          <w:b/>
          <w:bCs/>
        </w:rPr>
        <w:t xml:space="preserve"> </w:t>
      </w:r>
      <w:r w:rsidRPr="0014049D">
        <w:rPr>
          <w:rFonts w:eastAsia="Times New Roman" w:cstheme="minorHAnsi"/>
          <w:b/>
          <w:bCs/>
        </w:rPr>
        <w:t>to reflect the rapid technological advances including emerging technologies</w:t>
      </w:r>
      <w:r w:rsidR="00C52495" w:rsidRPr="0014049D">
        <w:rPr>
          <w:rFonts w:eastAsia="Times New Roman" w:cstheme="minorHAnsi"/>
          <w:b/>
          <w:bCs/>
        </w:rPr>
        <w:t>.</w:t>
      </w:r>
      <w:r w:rsidRPr="0014049D">
        <w:rPr>
          <w:rFonts w:eastAsia="Times New Roman" w:cstheme="minorHAnsi"/>
        </w:rPr>
        <w:t xml:space="preserve"> </w:t>
      </w:r>
    </w:p>
    <w:p w14:paraId="74DBC7B2" w14:textId="0D9376A5" w:rsidR="009B7BD1" w:rsidRPr="00A949A5" w:rsidRDefault="009B7BD1" w:rsidP="00A949A5">
      <w:pPr>
        <w:spacing w:after="0" w:line="276" w:lineRule="auto"/>
        <w:ind w:left="709"/>
        <w:jc w:val="both"/>
        <w:rPr>
          <w:rFonts w:eastAsia="Times New Roman" w:cstheme="minorHAnsi"/>
          <w:lang w:val="en-AU"/>
        </w:rPr>
      </w:pPr>
      <w:r w:rsidRPr="00A949A5">
        <w:rPr>
          <w:rFonts w:eastAsia="Times New Roman" w:cstheme="minorHAnsi"/>
        </w:rPr>
        <w:t>The current regulatory system is not appropriate for new technologies for Advanced Therapy Medicinal Products (ATMPs)/</w:t>
      </w:r>
      <w:r w:rsidRPr="00A949A5">
        <w:rPr>
          <w:rStyle w:val="Strong"/>
          <w:rFonts w:eastAsia="Times New Roman" w:cstheme="minorHAnsi"/>
          <w:b w:val="0"/>
          <w:bCs w:val="0"/>
          <w:lang w:val="en"/>
        </w:rPr>
        <w:t>Gene Therapies (GTs)</w:t>
      </w:r>
      <w:r w:rsidRPr="00A949A5">
        <w:rPr>
          <w:rFonts w:eastAsia="Times New Roman" w:cstheme="minorHAnsi"/>
        </w:rPr>
        <w:t xml:space="preserve">. ATMPs that contain GMOs which do not pose </w:t>
      </w:r>
      <w:r w:rsidRPr="00440781">
        <w:rPr>
          <w:rFonts w:eastAsia="Times New Roman" w:cstheme="minorHAnsi"/>
        </w:rPr>
        <w:t>an environmental or biosafety risk</w:t>
      </w:r>
      <w:r w:rsidR="00451750" w:rsidRPr="00440781">
        <w:rPr>
          <w:rFonts w:eastAsia="Times New Roman" w:cstheme="minorHAnsi"/>
        </w:rPr>
        <w:t xml:space="preserve"> and/or are very well understood by the OGTR through significant evaluation experience,</w:t>
      </w:r>
      <w:r w:rsidRPr="00440781">
        <w:rPr>
          <w:rFonts w:eastAsia="Times New Roman" w:cstheme="minorHAnsi"/>
        </w:rPr>
        <w:t xml:space="preserve"> should be exempted from GMO </w:t>
      </w:r>
      <w:r w:rsidR="00BF6518" w:rsidRPr="00440781">
        <w:rPr>
          <w:rFonts w:eastAsia="Times New Roman" w:cstheme="minorHAnsi"/>
        </w:rPr>
        <w:t xml:space="preserve">full evaluation </w:t>
      </w:r>
      <w:r w:rsidRPr="00440781">
        <w:rPr>
          <w:rFonts w:eastAsia="Times New Roman" w:cstheme="minorHAnsi"/>
        </w:rPr>
        <w:t xml:space="preserve">requirements. This includes GTs using non-pathogenic and replication-incompetent vectors such as adeno-associated virus (AAV) vectors which are replication deficient because the modified recombinant vector has a complete deletion of the wild-type viral genes. For this reason, </w:t>
      </w:r>
      <w:r w:rsidRPr="00440781">
        <w:rPr>
          <w:rFonts w:eastAsia="Times New Roman" w:cstheme="minorHAnsi"/>
          <w:color w:val="211E1F"/>
        </w:rPr>
        <w:t xml:space="preserve">AAV vectors should </w:t>
      </w:r>
      <w:r w:rsidR="00A05076" w:rsidRPr="00440781">
        <w:rPr>
          <w:rFonts w:eastAsia="Times New Roman" w:cstheme="minorHAnsi"/>
          <w:color w:val="211E1F"/>
        </w:rPr>
        <w:t>neither</w:t>
      </w:r>
      <w:r w:rsidRPr="00440781">
        <w:rPr>
          <w:rFonts w:eastAsia="Times New Roman" w:cstheme="minorHAnsi"/>
          <w:color w:val="211E1F"/>
        </w:rPr>
        <w:t xml:space="preserve"> be classified as “living organisms”</w:t>
      </w:r>
      <w:r w:rsidR="00E14432" w:rsidRPr="00440781">
        <w:rPr>
          <w:rFonts w:eastAsia="Times New Roman" w:cstheme="minorHAnsi"/>
          <w:color w:val="211E1F"/>
        </w:rPr>
        <w:t xml:space="preserve"> nor be required to meet GMO </w:t>
      </w:r>
      <w:r w:rsidR="00BF6518" w:rsidRPr="00440781">
        <w:rPr>
          <w:rFonts w:eastAsia="Times New Roman" w:cstheme="minorHAnsi"/>
          <w:color w:val="211E1F"/>
        </w:rPr>
        <w:t>full evaluation</w:t>
      </w:r>
      <w:r w:rsidR="00BF6518">
        <w:rPr>
          <w:rFonts w:eastAsia="Times New Roman" w:cstheme="minorHAnsi"/>
          <w:color w:val="211E1F"/>
        </w:rPr>
        <w:t xml:space="preserve"> </w:t>
      </w:r>
      <w:r w:rsidR="00E14432" w:rsidRPr="00A949A5">
        <w:rPr>
          <w:rFonts w:eastAsia="Times New Roman" w:cstheme="minorHAnsi"/>
          <w:color w:val="211E1F"/>
        </w:rPr>
        <w:t xml:space="preserve">requirements, which add considerable time and complexity to the review process, </w:t>
      </w:r>
      <w:r w:rsidR="00F87863" w:rsidRPr="00A949A5">
        <w:rPr>
          <w:rFonts w:eastAsia="Times New Roman" w:cstheme="minorHAnsi"/>
          <w:color w:val="211E1F"/>
        </w:rPr>
        <w:t>resulting in</w:t>
      </w:r>
      <w:r w:rsidR="00E14432" w:rsidRPr="00A949A5">
        <w:rPr>
          <w:rFonts w:eastAsia="Times New Roman" w:cstheme="minorHAnsi"/>
          <w:color w:val="211E1F"/>
        </w:rPr>
        <w:t xml:space="preserve"> delays for Australian patients </w:t>
      </w:r>
      <w:r w:rsidR="00F87863" w:rsidRPr="00A949A5">
        <w:rPr>
          <w:rFonts w:eastAsia="Times New Roman" w:cstheme="minorHAnsi"/>
          <w:color w:val="211E1F"/>
        </w:rPr>
        <w:t>to access potentially life-saving treatments</w:t>
      </w:r>
      <w:r w:rsidR="00E14432" w:rsidRPr="00A949A5">
        <w:rPr>
          <w:rFonts w:eastAsia="Times New Roman" w:cstheme="minorHAnsi"/>
          <w:color w:val="211E1F"/>
        </w:rPr>
        <w:t>.</w:t>
      </w:r>
    </w:p>
    <w:p w14:paraId="09116426" w14:textId="77777777" w:rsidR="00C52495" w:rsidRPr="00A949A5" w:rsidRDefault="009B7BD1" w:rsidP="007D5825">
      <w:pPr>
        <w:pStyle w:val="ListParagraph"/>
        <w:numPr>
          <w:ilvl w:val="0"/>
          <w:numId w:val="18"/>
        </w:numPr>
        <w:spacing w:after="0" w:line="276" w:lineRule="auto"/>
        <w:contextualSpacing w:val="0"/>
        <w:jc w:val="both"/>
        <w:rPr>
          <w:rFonts w:eastAsia="Times New Roman" w:cstheme="minorHAnsi"/>
          <w:lang w:val="en-AU"/>
        </w:rPr>
      </w:pPr>
      <w:r w:rsidRPr="00A949A5">
        <w:rPr>
          <w:rFonts w:eastAsia="Times New Roman" w:cstheme="minorHAnsi"/>
          <w:b/>
          <w:bCs/>
        </w:rPr>
        <w:t xml:space="preserve">Recommendation 2: Streamline the Regulatory Process through collaboration and information sharing between </w:t>
      </w:r>
      <w:r w:rsidRPr="00A949A5">
        <w:rPr>
          <w:rFonts w:eastAsia="Times New Roman" w:cstheme="minorHAnsi"/>
          <w:b/>
          <w:bCs/>
          <w:lang w:val="en-AU"/>
        </w:rPr>
        <w:t>the OGTR and TGA</w:t>
      </w:r>
      <w:r w:rsidRPr="00A949A5">
        <w:rPr>
          <w:rFonts w:eastAsia="Times New Roman" w:cstheme="minorHAnsi"/>
          <w:lang w:val="en-AU"/>
        </w:rPr>
        <w:t xml:space="preserve">. </w:t>
      </w:r>
    </w:p>
    <w:p w14:paraId="53381E2A" w14:textId="5000D3BB" w:rsidR="009B7BD1" w:rsidRPr="00A949A5" w:rsidRDefault="009B7BD1" w:rsidP="007D5825">
      <w:pPr>
        <w:spacing w:after="0" w:line="276" w:lineRule="auto"/>
        <w:ind w:left="720" w:firstLine="28"/>
        <w:jc w:val="both"/>
        <w:rPr>
          <w:rFonts w:cstheme="minorHAnsi"/>
        </w:rPr>
      </w:pPr>
      <w:r w:rsidRPr="00A949A5">
        <w:rPr>
          <w:rFonts w:cstheme="minorHAnsi"/>
        </w:rPr>
        <w:t xml:space="preserve">In Australia, ATMPs that contain GMOs must be appropriately </w:t>
      </w:r>
      <w:proofErr w:type="spellStart"/>
      <w:r w:rsidRPr="00A949A5">
        <w:rPr>
          <w:rFonts w:cstheme="minorHAnsi"/>
        </w:rPr>
        <w:t>authorised</w:t>
      </w:r>
      <w:proofErr w:type="spellEnd"/>
      <w:r w:rsidRPr="00A949A5">
        <w:rPr>
          <w:rFonts w:cstheme="minorHAnsi"/>
        </w:rPr>
        <w:t xml:space="preserve"> under both the Gene Technology Act 2000 and the Therapeutic Goods Act 1989, by the OGTR and TGA respectively. </w:t>
      </w:r>
      <w:r w:rsidR="00440781">
        <w:t xml:space="preserve">Evaluation by each agency involves significant overlap in consideration of health and safety. Both agencies also </w:t>
      </w:r>
      <w:r w:rsidRPr="00A949A5">
        <w:rPr>
          <w:rFonts w:cstheme="minorHAnsi"/>
        </w:rPr>
        <w:t xml:space="preserve">monitor post-marketing commitments and ensure mandatory reporting of additional information that may change an ATMP’s risk-benefit profile. However, each agency’s review and approval process </w:t>
      </w:r>
      <w:proofErr w:type="gramStart"/>
      <w:r w:rsidRPr="00A949A5">
        <w:rPr>
          <w:rFonts w:cstheme="minorHAnsi"/>
        </w:rPr>
        <w:t>is</w:t>
      </w:r>
      <w:proofErr w:type="gramEnd"/>
      <w:r w:rsidRPr="00A949A5">
        <w:rPr>
          <w:rFonts w:cstheme="minorHAnsi"/>
        </w:rPr>
        <w:t xml:space="preserve"> currently separate and independent. Given the significant overlap between the required evidence for the applications, the questions that arise from each agency, and potential post-marketing commitments, it would follow that better coordination, transparency and collaboration between the agencies would improve efficiency, thereby reducing duplication of efforts and avoiding delays in patient access. We therefore recommend the development of a pathway which enables inter-agency co-operation and information sharing </w:t>
      </w:r>
      <w:r w:rsidR="00683258" w:rsidRPr="00A949A5">
        <w:rPr>
          <w:rFonts w:cstheme="minorHAnsi"/>
        </w:rPr>
        <w:t xml:space="preserve">whilst </w:t>
      </w:r>
      <w:r w:rsidRPr="00A949A5">
        <w:rPr>
          <w:rFonts w:cstheme="minorHAnsi"/>
        </w:rPr>
        <w:t>respective assessments of a new ATMP</w:t>
      </w:r>
      <w:r w:rsidR="00683258" w:rsidRPr="00A949A5">
        <w:rPr>
          <w:rFonts w:cstheme="minorHAnsi"/>
        </w:rPr>
        <w:t xml:space="preserve"> are </w:t>
      </w:r>
      <w:r w:rsidR="00F87863" w:rsidRPr="00A949A5">
        <w:rPr>
          <w:rFonts w:cstheme="minorHAnsi"/>
        </w:rPr>
        <w:t>conducted</w:t>
      </w:r>
      <w:r w:rsidRPr="00A949A5">
        <w:rPr>
          <w:rFonts w:cstheme="minorHAnsi"/>
        </w:rPr>
        <w:t xml:space="preserve">. This may include creating an option for sponsors to seek pre-submission advice at a meeting attended by </w:t>
      </w:r>
      <w:r w:rsidRPr="007D5825">
        <w:rPr>
          <w:rFonts w:cstheme="minorHAnsi"/>
          <w:u w:val="single"/>
        </w:rPr>
        <w:t>both</w:t>
      </w:r>
      <w:r w:rsidRPr="00A949A5">
        <w:rPr>
          <w:rFonts w:cstheme="minorHAnsi"/>
        </w:rPr>
        <w:t xml:space="preserve"> the TGA and OGTR; alignment of milestones such as evaluation reports, questions, and post-market requirements; and the opportunity</w:t>
      </w:r>
      <w:r w:rsidR="001B57DB">
        <w:rPr>
          <w:rFonts w:cstheme="minorHAnsi"/>
        </w:rPr>
        <w:t>, if warranted,</w:t>
      </w:r>
      <w:r w:rsidRPr="00A949A5">
        <w:rPr>
          <w:rFonts w:cstheme="minorHAnsi"/>
        </w:rPr>
        <w:t xml:space="preserve"> for direct three-way discussions between sponsors, TGA and OGTR during the course of their reviews to avoid duplication of effort</w:t>
      </w:r>
      <w:r w:rsidR="00683258" w:rsidRPr="00A949A5">
        <w:rPr>
          <w:rFonts w:cstheme="minorHAnsi"/>
        </w:rPr>
        <w:t xml:space="preserve"> and increase efficienc</w:t>
      </w:r>
      <w:r w:rsidR="00F87863" w:rsidRPr="00A949A5">
        <w:rPr>
          <w:rFonts w:cstheme="minorHAnsi"/>
        </w:rPr>
        <w:t>y</w:t>
      </w:r>
      <w:r w:rsidRPr="00A949A5">
        <w:rPr>
          <w:rFonts w:cstheme="minorHAnsi"/>
        </w:rPr>
        <w:t>.</w:t>
      </w:r>
    </w:p>
    <w:p w14:paraId="71DE5D0D" w14:textId="29BCB5E4" w:rsidR="00C52495" w:rsidRPr="00A949A5" w:rsidRDefault="00235F87" w:rsidP="0014049D">
      <w:pPr>
        <w:pStyle w:val="ListParagraph"/>
        <w:keepNext/>
        <w:numPr>
          <w:ilvl w:val="0"/>
          <w:numId w:val="18"/>
        </w:numPr>
        <w:spacing w:after="0" w:line="276" w:lineRule="auto"/>
        <w:ind w:left="714" w:hanging="357"/>
        <w:contextualSpacing w:val="0"/>
        <w:jc w:val="both"/>
        <w:rPr>
          <w:rFonts w:eastAsia="Times New Roman" w:cstheme="minorHAnsi"/>
        </w:rPr>
      </w:pPr>
      <w:r w:rsidRPr="00A949A5">
        <w:rPr>
          <w:rFonts w:eastAsia="Times New Roman" w:cstheme="minorHAnsi"/>
          <w:b/>
          <w:bCs/>
        </w:rPr>
        <w:lastRenderedPageBreak/>
        <w:t xml:space="preserve">Recommendation 3: </w:t>
      </w:r>
      <w:r w:rsidR="00C52495" w:rsidRPr="00A949A5">
        <w:rPr>
          <w:rFonts w:eastAsia="Times New Roman" w:cstheme="minorHAnsi"/>
          <w:b/>
          <w:bCs/>
        </w:rPr>
        <w:t>Drive a</w:t>
      </w:r>
      <w:r w:rsidR="007D4ED3" w:rsidRPr="00A949A5">
        <w:rPr>
          <w:rFonts w:eastAsia="Times New Roman" w:cstheme="minorHAnsi"/>
          <w:b/>
          <w:bCs/>
        </w:rPr>
        <w:t>lignment</w:t>
      </w:r>
      <w:r w:rsidR="00C52495" w:rsidRPr="00A949A5">
        <w:rPr>
          <w:rFonts w:eastAsia="Times New Roman" w:cstheme="minorHAnsi"/>
          <w:b/>
          <w:bCs/>
        </w:rPr>
        <w:t xml:space="preserve">/harmonization </w:t>
      </w:r>
      <w:r w:rsidR="007D4ED3" w:rsidRPr="00A949A5">
        <w:rPr>
          <w:rFonts w:eastAsia="Times New Roman" w:cstheme="minorHAnsi"/>
          <w:b/>
          <w:bCs/>
        </w:rPr>
        <w:t>with other global standards</w:t>
      </w:r>
      <w:r w:rsidR="00BC26C3" w:rsidRPr="00A949A5">
        <w:rPr>
          <w:rFonts w:eastAsia="Times New Roman" w:cstheme="minorHAnsi"/>
          <w:b/>
          <w:bCs/>
        </w:rPr>
        <w:t>/</w:t>
      </w:r>
      <w:r w:rsidR="00C52495" w:rsidRPr="00A949A5">
        <w:rPr>
          <w:rFonts w:eastAsia="Times New Roman" w:cstheme="minorHAnsi"/>
          <w:b/>
          <w:bCs/>
        </w:rPr>
        <w:t>a</w:t>
      </w:r>
      <w:r w:rsidR="00BC26C3" w:rsidRPr="00A949A5">
        <w:rPr>
          <w:rFonts w:eastAsia="Times New Roman" w:cstheme="minorHAnsi"/>
          <w:b/>
          <w:bCs/>
        </w:rPr>
        <w:t>gencies</w:t>
      </w:r>
      <w:r w:rsidR="007D4ED3" w:rsidRPr="00A949A5">
        <w:rPr>
          <w:rFonts w:eastAsia="Times New Roman" w:cstheme="minorHAnsi"/>
          <w:b/>
          <w:bCs/>
        </w:rPr>
        <w:t xml:space="preserve"> to ensure that the development and approval of ATMPs and GTs are not delayed</w:t>
      </w:r>
      <w:r w:rsidR="00C52495" w:rsidRPr="00A949A5">
        <w:rPr>
          <w:rFonts w:eastAsia="Times New Roman" w:cstheme="minorHAnsi"/>
          <w:b/>
          <w:bCs/>
        </w:rPr>
        <w:t>.</w:t>
      </w:r>
    </w:p>
    <w:p w14:paraId="700747FE" w14:textId="618BA819" w:rsidR="007D4ED3" w:rsidRPr="00A949A5" w:rsidRDefault="00020F5E" w:rsidP="007D5825">
      <w:pPr>
        <w:spacing w:after="0" w:line="276" w:lineRule="auto"/>
        <w:ind w:left="720"/>
        <w:jc w:val="both"/>
        <w:rPr>
          <w:rFonts w:eastAsia="Times New Roman" w:cstheme="minorHAnsi"/>
        </w:rPr>
      </w:pPr>
      <w:r w:rsidRPr="00A949A5">
        <w:rPr>
          <w:rFonts w:eastAsia="Times New Roman" w:cstheme="minorHAnsi"/>
        </w:rPr>
        <w:t>A</w:t>
      </w:r>
      <w:r w:rsidR="005D6901" w:rsidRPr="00A949A5">
        <w:rPr>
          <w:rFonts w:eastAsia="Times New Roman" w:cstheme="minorHAnsi"/>
        </w:rPr>
        <w:t>chieving g</w:t>
      </w:r>
      <w:r w:rsidR="007D4ED3" w:rsidRPr="00A949A5">
        <w:rPr>
          <w:rFonts w:eastAsia="Times New Roman" w:cstheme="minorHAnsi"/>
        </w:rPr>
        <w:t xml:space="preserve">lobal harmonization of </w:t>
      </w:r>
      <w:r w:rsidR="005D6901" w:rsidRPr="00A949A5">
        <w:rPr>
          <w:rFonts w:eastAsia="Times New Roman" w:cstheme="minorHAnsi"/>
        </w:rPr>
        <w:t xml:space="preserve">the </w:t>
      </w:r>
      <w:r w:rsidR="007D4ED3" w:rsidRPr="00A949A5">
        <w:rPr>
          <w:rFonts w:eastAsia="Times New Roman" w:cstheme="minorHAnsi"/>
        </w:rPr>
        <w:t>GMO Application Process</w:t>
      </w:r>
      <w:r w:rsidR="00A82D45" w:rsidRPr="00A949A5">
        <w:rPr>
          <w:rFonts w:eastAsia="Times New Roman" w:cstheme="minorHAnsi"/>
        </w:rPr>
        <w:t xml:space="preserve"> </w:t>
      </w:r>
      <w:r w:rsidR="005D6901" w:rsidRPr="00A949A5">
        <w:rPr>
          <w:rFonts w:eastAsia="Times New Roman" w:cstheme="minorHAnsi"/>
        </w:rPr>
        <w:t>through</w:t>
      </w:r>
      <w:r w:rsidR="007D4ED3" w:rsidRPr="00A949A5">
        <w:rPr>
          <w:rFonts w:eastAsia="Times New Roman" w:cstheme="minorHAnsi"/>
        </w:rPr>
        <w:t xml:space="preserve"> open dialogue wit</w:t>
      </w:r>
      <w:r w:rsidRPr="00A949A5">
        <w:rPr>
          <w:rFonts w:eastAsia="Times New Roman" w:cstheme="minorHAnsi"/>
        </w:rPr>
        <w:t xml:space="preserve">h </w:t>
      </w:r>
      <w:r w:rsidR="007D4ED3" w:rsidRPr="00A949A5">
        <w:rPr>
          <w:rFonts w:eastAsia="Times New Roman" w:cstheme="minorHAnsi"/>
        </w:rPr>
        <w:t xml:space="preserve">other regulatory agencies to share experiences and information on the development </w:t>
      </w:r>
      <w:r w:rsidRPr="00A949A5">
        <w:rPr>
          <w:rFonts w:eastAsia="Times New Roman" w:cstheme="minorHAnsi"/>
        </w:rPr>
        <w:t xml:space="preserve">of </w:t>
      </w:r>
      <w:r w:rsidR="007D4ED3" w:rsidRPr="00A949A5">
        <w:rPr>
          <w:rFonts w:eastAsia="Times New Roman" w:cstheme="minorHAnsi"/>
        </w:rPr>
        <w:t>ATMPs/GTs/GMOs</w:t>
      </w:r>
      <w:r w:rsidRPr="00A949A5">
        <w:rPr>
          <w:rFonts w:eastAsia="Times New Roman" w:cstheme="minorHAnsi"/>
        </w:rPr>
        <w:t xml:space="preserve"> is imperative for timely and expedited approval and access.</w:t>
      </w:r>
      <w:r w:rsidR="005D6901" w:rsidRPr="00A949A5">
        <w:rPr>
          <w:rFonts w:eastAsia="Times New Roman" w:cstheme="minorHAnsi"/>
        </w:rPr>
        <w:t xml:space="preserve"> </w:t>
      </w:r>
      <w:r w:rsidR="00683258" w:rsidRPr="00A949A5">
        <w:rPr>
          <w:rFonts w:eastAsia="Times New Roman" w:cstheme="minorHAnsi"/>
        </w:rPr>
        <w:t xml:space="preserve">Where comparable overseas regulators have </w:t>
      </w:r>
      <w:r w:rsidR="00451750">
        <w:rPr>
          <w:rFonts w:eastAsia="Times New Roman" w:cstheme="minorHAnsi"/>
        </w:rPr>
        <w:t>completed</w:t>
      </w:r>
      <w:r w:rsidR="00683258" w:rsidRPr="00A949A5">
        <w:rPr>
          <w:rFonts w:eastAsia="Times New Roman" w:cstheme="minorHAnsi"/>
        </w:rPr>
        <w:t xml:space="preserve"> a thorough risk-assessment prior to </w:t>
      </w:r>
      <w:proofErr w:type="spellStart"/>
      <w:r w:rsidR="00683258" w:rsidRPr="00A949A5">
        <w:rPr>
          <w:rFonts w:eastAsia="Times New Roman" w:cstheme="minorHAnsi"/>
        </w:rPr>
        <w:t>authori</w:t>
      </w:r>
      <w:r w:rsidR="00F87863" w:rsidRPr="00A949A5">
        <w:rPr>
          <w:rFonts w:eastAsia="Times New Roman" w:cstheme="minorHAnsi"/>
        </w:rPr>
        <w:t>s</w:t>
      </w:r>
      <w:r w:rsidR="00683258" w:rsidRPr="00A949A5">
        <w:rPr>
          <w:rFonts w:eastAsia="Times New Roman" w:cstheme="minorHAnsi"/>
        </w:rPr>
        <w:t>ing</w:t>
      </w:r>
      <w:proofErr w:type="spellEnd"/>
      <w:r w:rsidR="00683258" w:rsidRPr="00A949A5">
        <w:rPr>
          <w:rFonts w:eastAsia="Times New Roman" w:cstheme="minorHAnsi"/>
        </w:rPr>
        <w:t xml:space="preserve"> clinical trials, the OGTR may consider exemptions for Australia</w:t>
      </w:r>
      <w:r w:rsidR="00F87863" w:rsidRPr="00A949A5">
        <w:rPr>
          <w:rFonts w:eastAsia="Times New Roman" w:cstheme="minorHAnsi"/>
        </w:rPr>
        <w:t xml:space="preserve">, </w:t>
      </w:r>
      <w:proofErr w:type="gramStart"/>
      <w:r w:rsidR="00F87863" w:rsidRPr="00A949A5">
        <w:rPr>
          <w:rFonts w:eastAsia="Times New Roman" w:cstheme="minorHAnsi"/>
        </w:rPr>
        <w:t>similar to</w:t>
      </w:r>
      <w:proofErr w:type="gramEnd"/>
      <w:r w:rsidR="00F87863" w:rsidRPr="00A949A5">
        <w:rPr>
          <w:rFonts w:eastAsia="Times New Roman" w:cstheme="minorHAnsi"/>
        </w:rPr>
        <w:t xml:space="preserve"> existing TGA COR pathways</w:t>
      </w:r>
      <w:r w:rsidR="00683258" w:rsidRPr="00A949A5">
        <w:rPr>
          <w:rFonts w:eastAsia="Times New Roman" w:cstheme="minorHAnsi"/>
        </w:rPr>
        <w:t xml:space="preserve">. </w:t>
      </w:r>
      <w:r w:rsidRPr="00A949A5">
        <w:rPr>
          <w:rFonts w:eastAsia="Times New Roman" w:cstheme="minorHAnsi"/>
          <w:color w:val="211E1F"/>
        </w:rPr>
        <w:t>Similarly</w:t>
      </w:r>
      <w:r w:rsidR="005D6901" w:rsidRPr="00A949A5">
        <w:rPr>
          <w:rFonts w:eastAsia="Times New Roman" w:cstheme="minorHAnsi"/>
          <w:color w:val="211E1F"/>
        </w:rPr>
        <w:t xml:space="preserve">,  </w:t>
      </w:r>
      <w:r w:rsidRPr="00A949A5">
        <w:rPr>
          <w:rFonts w:eastAsia="Times New Roman" w:cstheme="minorHAnsi"/>
          <w:color w:val="211E1F"/>
        </w:rPr>
        <w:t>l</w:t>
      </w:r>
      <w:r w:rsidR="007D4ED3" w:rsidRPr="00A949A5">
        <w:rPr>
          <w:rFonts w:eastAsia="Times New Roman" w:cstheme="minorHAnsi"/>
          <w:color w:val="211E1F"/>
        </w:rPr>
        <w:t>everag</w:t>
      </w:r>
      <w:r w:rsidRPr="00A949A5">
        <w:rPr>
          <w:rFonts w:eastAsia="Times New Roman" w:cstheme="minorHAnsi"/>
          <w:color w:val="211E1F"/>
        </w:rPr>
        <w:t>ing</w:t>
      </w:r>
      <w:r w:rsidR="007D4ED3" w:rsidRPr="00A949A5">
        <w:rPr>
          <w:rFonts w:eastAsia="Times New Roman" w:cstheme="minorHAnsi"/>
          <w:color w:val="211E1F"/>
        </w:rPr>
        <w:t xml:space="preserve"> Work Share and Global Reliance as outlined in the World Health Organization (WHO)</w:t>
      </w:r>
      <w:r w:rsidR="005D6901" w:rsidRPr="00A949A5">
        <w:rPr>
          <w:rFonts w:eastAsia="Times New Roman" w:cstheme="minorHAnsi"/>
          <w:color w:val="211E1F"/>
        </w:rPr>
        <w:t xml:space="preserve"> </w:t>
      </w:r>
      <w:hyperlink r:id="rId9" w:history="1">
        <w:r w:rsidR="007D4ED3" w:rsidRPr="00A949A5">
          <w:rPr>
            <w:rStyle w:val="Hyperlink"/>
            <w:rFonts w:eastAsia="Times New Roman" w:cstheme="minorHAnsi"/>
          </w:rPr>
          <w:t>Good Reliance Practice</w:t>
        </w:r>
      </w:hyperlink>
      <w:r w:rsidR="007D4ED3" w:rsidRPr="00A949A5">
        <w:rPr>
          <w:rFonts w:eastAsia="Times New Roman" w:cstheme="minorHAnsi"/>
          <w:color w:val="211E1F"/>
        </w:rPr>
        <w:t xml:space="preserve"> in Regulatory Decision Making for Medical Products (</w:t>
      </w:r>
      <w:proofErr w:type="spellStart"/>
      <w:r w:rsidR="007D4ED3" w:rsidRPr="00A949A5">
        <w:rPr>
          <w:rFonts w:eastAsia="Times New Roman" w:cstheme="minorHAnsi"/>
          <w:color w:val="211E1F"/>
        </w:rPr>
        <w:t>GRelP</w:t>
      </w:r>
      <w:proofErr w:type="spellEnd"/>
      <w:r w:rsidR="007D4ED3" w:rsidRPr="00A949A5">
        <w:rPr>
          <w:rFonts w:eastAsia="Times New Roman" w:cstheme="minorHAnsi"/>
          <w:color w:val="211E1F"/>
        </w:rPr>
        <w:t xml:space="preserve"> document)  </w:t>
      </w:r>
      <w:r w:rsidRPr="00A949A5">
        <w:rPr>
          <w:rFonts w:eastAsia="Times New Roman" w:cstheme="minorHAnsi"/>
          <w:color w:val="211E1F"/>
        </w:rPr>
        <w:t xml:space="preserve">or </w:t>
      </w:r>
      <w:r w:rsidR="00A82D45" w:rsidRPr="00A949A5">
        <w:rPr>
          <w:rFonts w:eastAsia="Times New Roman" w:cstheme="minorHAnsi"/>
          <w:color w:val="211E1F"/>
        </w:rPr>
        <w:t>e</w:t>
      </w:r>
      <w:r w:rsidR="007D4ED3" w:rsidRPr="00A949A5">
        <w:rPr>
          <w:rFonts w:eastAsia="Times New Roman" w:cstheme="minorHAnsi"/>
        </w:rPr>
        <w:t>xpand</w:t>
      </w:r>
      <w:r w:rsidRPr="00A949A5">
        <w:rPr>
          <w:rFonts w:eastAsia="Times New Roman" w:cstheme="minorHAnsi"/>
        </w:rPr>
        <w:t>ing</w:t>
      </w:r>
      <w:r w:rsidR="007D4ED3" w:rsidRPr="00A949A5">
        <w:rPr>
          <w:rFonts w:eastAsia="Times New Roman" w:cstheme="minorHAnsi"/>
        </w:rPr>
        <w:t xml:space="preserve"> the scope of Australia – Canada – Singapore – Switzerland – United </w:t>
      </w:r>
      <w:r w:rsidR="009B7BD1" w:rsidRPr="00A949A5">
        <w:rPr>
          <w:rFonts w:eastAsia="Times New Roman" w:cstheme="minorHAnsi"/>
        </w:rPr>
        <w:t xml:space="preserve"> </w:t>
      </w:r>
      <w:r w:rsidR="007D4ED3" w:rsidRPr="00A949A5">
        <w:rPr>
          <w:rFonts w:eastAsia="Times New Roman" w:cstheme="minorHAnsi"/>
        </w:rPr>
        <w:t>Kingdom, (A</w:t>
      </w:r>
      <w:r w:rsidR="001B57DB">
        <w:rPr>
          <w:rFonts w:eastAsia="Times New Roman" w:cstheme="minorHAnsi"/>
        </w:rPr>
        <w:t>ccess</w:t>
      </w:r>
      <w:r w:rsidR="007D4ED3" w:rsidRPr="00A949A5">
        <w:rPr>
          <w:rFonts w:eastAsia="Times New Roman" w:cstheme="minorHAnsi"/>
        </w:rPr>
        <w:t>) Consortium to include ATMPs/GTs/GMOs</w:t>
      </w:r>
      <w:r w:rsidR="00683258" w:rsidRPr="00A949A5">
        <w:rPr>
          <w:rFonts w:eastAsia="Times New Roman" w:cstheme="minorHAnsi"/>
        </w:rPr>
        <w:t>,</w:t>
      </w:r>
      <w:r w:rsidR="007D4ED3" w:rsidRPr="00A949A5">
        <w:rPr>
          <w:rFonts w:eastAsia="Times New Roman" w:cstheme="minorHAnsi"/>
          <w:color w:val="211E1F"/>
        </w:rPr>
        <w:t xml:space="preserve"> will promote efficient use of resources </w:t>
      </w:r>
      <w:r w:rsidR="00A82D45" w:rsidRPr="00A949A5">
        <w:rPr>
          <w:rFonts w:eastAsia="Times New Roman" w:cstheme="minorHAnsi"/>
          <w:color w:val="211E1F"/>
        </w:rPr>
        <w:t xml:space="preserve">and </w:t>
      </w:r>
      <w:r w:rsidR="007D4ED3" w:rsidRPr="00A949A5">
        <w:rPr>
          <w:rFonts w:eastAsia="Times New Roman" w:cstheme="minorHAnsi"/>
          <w:color w:val="211E1F"/>
        </w:rPr>
        <w:t xml:space="preserve">mitigate </w:t>
      </w:r>
      <w:r w:rsidR="007D4ED3" w:rsidRPr="00A949A5">
        <w:rPr>
          <w:rFonts w:eastAsia="Times New Roman" w:cstheme="minorHAnsi"/>
        </w:rPr>
        <w:t>delays in the development of GT</w:t>
      </w:r>
      <w:r w:rsidR="00A82D45" w:rsidRPr="00A949A5">
        <w:rPr>
          <w:rFonts w:eastAsia="Times New Roman" w:cstheme="minorHAnsi"/>
        </w:rPr>
        <w:t>MPs</w:t>
      </w:r>
      <w:r w:rsidR="007D4ED3" w:rsidRPr="00A949A5">
        <w:rPr>
          <w:rFonts w:eastAsia="Times New Roman" w:cstheme="minorHAnsi"/>
        </w:rPr>
        <w:t xml:space="preserve"> </w:t>
      </w:r>
      <w:r w:rsidR="00683258" w:rsidRPr="00A949A5">
        <w:rPr>
          <w:rFonts w:eastAsia="Times New Roman" w:cstheme="minorHAnsi"/>
        </w:rPr>
        <w:t xml:space="preserve">which </w:t>
      </w:r>
      <w:r w:rsidR="007D4ED3" w:rsidRPr="00A949A5">
        <w:rPr>
          <w:rFonts w:eastAsia="Times New Roman" w:cstheme="minorHAnsi"/>
        </w:rPr>
        <w:t>may result in quicker access to potential</w:t>
      </w:r>
      <w:r w:rsidR="00A82D45" w:rsidRPr="00A949A5">
        <w:rPr>
          <w:rFonts w:eastAsia="Times New Roman" w:cstheme="minorHAnsi"/>
        </w:rPr>
        <w:t>ly</w:t>
      </w:r>
      <w:r w:rsidR="007D4ED3" w:rsidRPr="00A949A5">
        <w:rPr>
          <w:rFonts w:eastAsia="Times New Roman" w:cstheme="minorHAnsi"/>
        </w:rPr>
        <w:t xml:space="preserve"> life-saving treatments. </w:t>
      </w:r>
    </w:p>
    <w:p w14:paraId="1296034B" w14:textId="04F72F59" w:rsidR="00B718C0" w:rsidRPr="00A949A5" w:rsidRDefault="00B718C0" w:rsidP="0014049D">
      <w:pPr>
        <w:pStyle w:val="Heading1"/>
      </w:pPr>
      <w:r w:rsidRPr="00A949A5">
        <w:t>In summary</w:t>
      </w:r>
    </w:p>
    <w:p w14:paraId="23E96934" w14:textId="02C11A6B" w:rsidR="00B718C0" w:rsidRPr="00A949A5" w:rsidRDefault="00B718C0" w:rsidP="007D5825">
      <w:pPr>
        <w:spacing w:after="0" w:line="276" w:lineRule="auto"/>
        <w:rPr>
          <w:rFonts w:cstheme="minorHAnsi"/>
        </w:rPr>
      </w:pPr>
      <w:r w:rsidRPr="00A949A5">
        <w:rPr>
          <w:rFonts w:cstheme="minorHAnsi"/>
        </w:rPr>
        <w:t xml:space="preserve">The RDIWG </w:t>
      </w:r>
      <w:r w:rsidR="00020F5E" w:rsidRPr="00A949A5">
        <w:rPr>
          <w:rFonts w:cstheme="minorHAnsi"/>
        </w:rPr>
        <w:t xml:space="preserve">Sub-Committee on </w:t>
      </w:r>
      <w:r w:rsidR="00372764">
        <w:rPr>
          <w:rFonts w:cstheme="minorHAnsi"/>
        </w:rPr>
        <w:t xml:space="preserve">Cell and </w:t>
      </w:r>
      <w:r w:rsidR="00020F5E" w:rsidRPr="00A949A5">
        <w:rPr>
          <w:rFonts w:cstheme="minorHAnsi"/>
        </w:rPr>
        <w:t xml:space="preserve">Gene Therapies </w:t>
      </w:r>
      <w:r w:rsidRPr="00A949A5">
        <w:rPr>
          <w:rFonts w:cstheme="minorHAnsi"/>
        </w:rPr>
        <w:t xml:space="preserve">welcomes the opportunity to work with the Australian Government and other stakeholders on fit-for-purpose reforms to the current </w:t>
      </w:r>
      <w:r w:rsidR="00020F5E" w:rsidRPr="00A949A5">
        <w:rPr>
          <w:rFonts w:cstheme="minorHAnsi"/>
        </w:rPr>
        <w:t xml:space="preserve">regulatory </w:t>
      </w:r>
      <w:r w:rsidRPr="00A949A5">
        <w:rPr>
          <w:rFonts w:cstheme="minorHAnsi"/>
        </w:rPr>
        <w:t xml:space="preserve">procedures and guidelines so that Australians have </w:t>
      </w:r>
      <w:r w:rsidR="00020F5E" w:rsidRPr="00A949A5">
        <w:rPr>
          <w:rFonts w:cstheme="minorHAnsi"/>
        </w:rPr>
        <w:t xml:space="preserve">safe, rapid and </w:t>
      </w:r>
      <w:r w:rsidRPr="00A949A5">
        <w:rPr>
          <w:rFonts w:cstheme="minorHAnsi"/>
        </w:rPr>
        <w:t>sustainable access to rare disease treatments</w:t>
      </w:r>
      <w:r w:rsidR="004F2AEC" w:rsidRPr="00A949A5">
        <w:rPr>
          <w:rFonts w:cstheme="minorHAnsi"/>
        </w:rPr>
        <w:t>, including gene therapies</w:t>
      </w:r>
      <w:r w:rsidRPr="00A949A5">
        <w:rPr>
          <w:rFonts w:cstheme="minorHAnsi"/>
        </w:rPr>
        <w:t xml:space="preserve">. </w:t>
      </w:r>
    </w:p>
    <w:p w14:paraId="5DAFBA56" w14:textId="066EEA2E" w:rsidR="00B550BE" w:rsidRPr="00A949A5" w:rsidRDefault="00B550BE" w:rsidP="007D5825">
      <w:pPr>
        <w:spacing w:after="0" w:line="276" w:lineRule="auto"/>
        <w:rPr>
          <w:rFonts w:cstheme="minorHAnsi"/>
        </w:rPr>
      </w:pPr>
      <w:r w:rsidRPr="00A949A5">
        <w:rPr>
          <w:rFonts w:cstheme="minorHAnsi"/>
        </w:rPr>
        <w:t>Yours sincerely</w:t>
      </w:r>
    </w:p>
    <w:p w14:paraId="2D526C8D" w14:textId="55ABB284" w:rsidR="00FA7E2F" w:rsidRDefault="00683258" w:rsidP="00A949A5">
      <w:pPr>
        <w:spacing w:after="0" w:line="276" w:lineRule="auto"/>
        <w:rPr>
          <w:rFonts w:cstheme="minorHAnsi"/>
          <w:b/>
          <w:bCs/>
        </w:rPr>
      </w:pPr>
      <w:r w:rsidRPr="00A949A5">
        <w:rPr>
          <w:rFonts w:cstheme="minorHAnsi"/>
          <w:b/>
          <w:bCs/>
        </w:rPr>
        <w:t xml:space="preserve">Submitted by the cell and gene therapy subcommittee of </w:t>
      </w:r>
      <w:r w:rsidR="00FA7E2F" w:rsidRPr="00A949A5">
        <w:rPr>
          <w:rFonts w:cstheme="minorHAnsi"/>
          <w:b/>
          <w:bCs/>
        </w:rPr>
        <w:t>the Rare Disease Industry Working Group</w:t>
      </w:r>
      <w:r w:rsidR="007A016E" w:rsidRPr="00A949A5">
        <w:rPr>
          <w:rFonts w:cstheme="minorHAnsi"/>
          <w:b/>
          <w:bCs/>
        </w:rPr>
        <w:t xml:space="preserve"> (RDIWG)</w:t>
      </w:r>
      <w:r w:rsidRPr="00A949A5">
        <w:rPr>
          <w:rFonts w:cstheme="minorHAnsi"/>
          <w:b/>
          <w:bCs/>
        </w:rPr>
        <w:t>, comprising:</w:t>
      </w:r>
    </w:p>
    <w:p w14:paraId="082686A3" w14:textId="40D05A7C" w:rsidR="00D83D86" w:rsidRPr="00A949A5" w:rsidRDefault="00D83D86" w:rsidP="0014049D">
      <w:pPr>
        <w:pStyle w:val="ListParagraph"/>
        <w:numPr>
          <w:ilvl w:val="0"/>
          <w:numId w:val="27"/>
        </w:numPr>
        <w:spacing w:before="0" w:after="0" w:line="240" w:lineRule="auto"/>
        <w:ind w:left="714" w:hanging="357"/>
        <w:contextualSpacing w:val="0"/>
        <w:rPr>
          <w:rFonts w:cstheme="minorHAnsi"/>
          <w:b/>
          <w:bCs/>
        </w:rPr>
      </w:pPr>
      <w:r w:rsidRPr="00A949A5">
        <w:rPr>
          <w:rFonts w:cstheme="minorHAnsi"/>
          <w:b/>
          <w:bCs/>
        </w:rPr>
        <w:t>Biogen</w:t>
      </w:r>
    </w:p>
    <w:p w14:paraId="131302DB" w14:textId="3F7AE160" w:rsidR="00D83D86" w:rsidRPr="00A949A5" w:rsidRDefault="00D83D86" w:rsidP="0014049D">
      <w:pPr>
        <w:pStyle w:val="ListParagraph"/>
        <w:numPr>
          <w:ilvl w:val="0"/>
          <w:numId w:val="27"/>
        </w:numPr>
        <w:spacing w:before="0" w:after="0" w:line="240" w:lineRule="auto"/>
        <w:ind w:left="714" w:hanging="357"/>
        <w:contextualSpacing w:val="0"/>
        <w:rPr>
          <w:rFonts w:cstheme="minorHAnsi"/>
          <w:b/>
          <w:bCs/>
        </w:rPr>
      </w:pPr>
      <w:r w:rsidRPr="00A949A5">
        <w:rPr>
          <w:rFonts w:cstheme="minorHAnsi"/>
          <w:b/>
          <w:bCs/>
        </w:rPr>
        <w:t>BioMarin</w:t>
      </w:r>
    </w:p>
    <w:p w14:paraId="49AA0353" w14:textId="139909EE" w:rsidR="00424607" w:rsidRPr="00A949A5" w:rsidRDefault="00424607" w:rsidP="0014049D">
      <w:pPr>
        <w:pStyle w:val="ListParagraph"/>
        <w:numPr>
          <w:ilvl w:val="0"/>
          <w:numId w:val="27"/>
        </w:numPr>
        <w:spacing w:before="0" w:after="0" w:line="240" w:lineRule="auto"/>
        <w:ind w:left="714" w:hanging="357"/>
        <w:contextualSpacing w:val="0"/>
        <w:rPr>
          <w:rFonts w:cstheme="minorHAnsi"/>
          <w:b/>
          <w:bCs/>
        </w:rPr>
      </w:pPr>
      <w:r w:rsidRPr="00A949A5">
        <w:rPr>
          <w:rFonts w:cstheme="minorHAnsi"/>
          <w:b/>
          <w:bCs/>
        </w:rPr>
        <w:t>Pfizer</w:t>
      </w:r>
    </w:p>
    <w:p w14:paraId="711EB36B" w14:textId="1234E060" w:rsidR="00424607" w:rsidRPr="00A949A5" w:rsidRDefault="00424607" w:rsidP="0014049D">
      <w:pPr>
        <w:pStyle w:val="ListParagraph"/>
        <w:numPr>
          <w:ilvl w:val="0"/>
          <w:numId w:val="27"/>
        </w:numPr>
        <w:spacing w:before="0" w:after="0" w:line="240" w:lineRule="auto"/>
        <w:ind w:left="714" w:hanging="357"/>
        <w:contextualSpacing w:val="0"/>
        <w:rPr>
          <w:rFonts w:cstheme="minorHAnsi"/>
          <w:b/>
          <w:bCs/>
        </w:rPr>
      </w:pPr>
      <w:r w:rsidRPr="00A949A5">
        <w:rPr>
          <w:rFonts w:cstheme="minorHAnsi"/>
          <w:b/>
          <w:bCs/>
        </w:rPr>
        <w:t>PT</w:t>
      </w:r>
      <w:r w:rsidR="007A016E" w:rsidRPr="00A949A5">
        <w:rPr>
          <w:rFonts w:cstheme="minorHAnsi"/>
          <w:b/>
          <w:bCs/>
        </w:rPr>
        <w:t>C</w:t>
      </w:r>
      <w:r w:rsidRPr="00A949A5">
        <w:rPr>
          <w:rFonts w:cstheme="minorHAnsi"/>
          <w:b/>
          <w:bCs/>
        </w:rPr>
        <w:t xml:space="preserve"> Therapeutics</w:t>
      </w:r>
    </w:p>
    <w:p w14:paraId="46CEDFE2" w14:textId="77777777" w:rsidR="007D4ED3" w:rsidRPr="00A949A5" w:rsidRDefault="00424607" w:rsidP="0014049D">
      <w:pPr>
        <w:pStyle w:val="ListParagraph"/>
        <w:numPr>
          <w:ilvl w:val="0"/>
          <w:numId w:val="27"/>
        </w:numPr>
        <w:spacing w:before="0" w:after="0" w:line="240" w:lineRule="auto"/>
        <w:ind w:left="714" w:hanging="357"/>
        <w:contextualSpacing w:val="0"/>
        <w:rPr>
          <w:rFonts w:cstheme="minorHAnsi"/>
          <w:b/>
          <w:bCs/>
        </w:rPr>
      </w:pPr>
      <w:r w:rsidRPr="00A949A5">
        <w:rPr>
          <w:rFonts w:cstheme="minorHAnsi"/>
          <w:b/>
          <w:bCs/>
        </w:rPr>
        <w:t>Takeda</w:t>
      </w:r>
    </w:p>
    <w:sectPr w:rsidR="007D4ED3" w:rsidRPr="00A949A5" w:rsidSect="00B550BE">
      <w:headerReference w:type="default" r:id="rId10"/>
      <w:footerReference w:type="default" r:id="rId11"/>
      <w:pgSz w:w="12240" w:h="15840"/>
      <w:pgMar w:top="1440"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DAABC" w14:textId="77777777" w:rsidR="00255DD6" w:rsidRDefault="00255DD6" w:rsidP="00E15816">
      <w:pPr>
        <w:spacing w:after="0" w:line="240" w:lineRule="auto"/>
      </w:pPr>
      <w:r>
        <w:separator/>
      </w:r>
    </w:p>
  </w:endnote>
  <w:endnote w:type="continuationSeparator" w:id="0">
    <w:p w14:paraId="2D724D99" w14:textId="77777777" w:rsidR="00255DD6" w:rsidRDefault="00255DD6" w:rsidP="00E15816">
      <w:pPr>
        <w:spacing w:after="0" w:line="240" w:lineRule="auto"/>
      </w:pPr>
      <w:r>
        <w:continuationSeparator/>
      </w:r>
    </w:p>
  </w:endnote>
  <w:endnote w:type="continuationNotice" w:id="1">
    <w:p w14:paraId="48F91B08" w14:textId="77777777" w:rsidR="00255DD6" w:rsidRDefault="00255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32AB" w14:textId="66C066E0" w:rsidR="00287E8B" w:rsidRDefault="00287E8B" w:rsidP="00010C74">
    <w:pPr>
      <w:pStyle w:val="Footer"/>
      <w:pBdr>
        <w:top w:val="single" w:sz="4" w:space="8" w:color="auto"/>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D32F0">
      <w:rPr>
        <w:noProof/>
        <w:color w:val="404040" w:themeColor="text1" w:themeTint="BF"/>
      </w:rPr>
      <w:t>7</w:t>
    </w:r>
    <w:r>
      <w:rPr>
        <w:noProof/>
        <w:color w:val="404040" w:themeColor="text1" w:themeTint="BF"/>
      </w:rPr>
      <w:fldChar w:fldCharType="end"/>
    </w:r>
  </w:p>
  <w:p w14:paraId="6D919A39" w14:textId="77777777" w:rsidR="00287E8B" w:rsidRDefault="00287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09E90" w14:textId="77777777" w:rsidR="00255DD6" w:rsidRDefault="00255DD6" w:rsidP="00E15816">
      <w:pPr>
        <w:spacing w:after="0" w:line="240" w:lineRule="auto"/>
      </w:pPr>
      <w:r>
        <w:separator/>
      </w:r>
    </w:p>
  </w:footnote>
  <w:footnote w:type="continuationSeparator" w:id="0">
    <w:p w14:paraId="2BEF198E" w14:textId="77777777" w:rsidR="00255DD6" w:rsidRDefault="00255DD6" w:rsidP="00E15816">
      <w:pPr>
        <w:spacing w:after="0" w:line="240" w:lineRule="auto"/>
      </w:pPr>
      <w:r>
        <w:continuationSeparator/>
      </w:r>
    </w:p>
  </w:footnote>
  <w:footnote w:type="continuationNotice" w:id="1">
    <w:p w14:paraId="2E8DF3D4" w14:textId="77777777" w:rsidR="00255DD6" w:rsidRDefault="00255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6BAB" w14:textId="651DDC93" w:rsidR="00A11A38" w:rsidRDefault="00A11A38" w:rsidP="00BA0B9D">
    <w:pPr>
      <w:pStyle w:val="Header"/>
      <w:pBdr>
        <w:bottom w:val="single" w:sz="4" w:space="1" w:color="auto"/>
      </w:pBdr>
    </w:pPr>
    <w:r>
      <w:t xml:space="preserve">Confidential </w:t>
    </w:r>
    <w:r w:rsidR="00011062">
      <w:t>–</w:t>
    </w:r>
    <w:r>
      <w:t xml:space="preserve"> </w:t>
    </w:r>
    <w:r w:rsidR="00011062">
      <w:t xml:space="preserve">RDIWG </w:t>
    </w:r>
    <w:r w:rsidR="00F539A3">
      <w:t xml:space="preserve">OGTR CRIS </w:t>
    </w:r>
    <w:r w:rsidR="00011062">
      <w:t>Submission</w:t>
    </w:r>
  </w:p>
  <w:p w14:paraId="5559FE48" w14:textId="77777777" w:rsidR="00287E8B" w:rsidRDefault="00287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196"/>
    <w:multiLevelType w:val="hybridMultilevel"/>
    <w:tmpl w:val="821E2D8A"/>
    <w:lvl w:ilvl="0" w:tplc="04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00751C"/>
    <w:multiLevelType w:val="hybridMultilevel"/>
    <w:tmpl w:val="5BE28B20"/>
    <w:lvl w:ilvl="0" w:tplc="4DAAE63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A1B3E"/>
    <w:multiLevelType w:val="hybridMultilevel"/>
    <w:tmpl w:val="B42C9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B2B2E65"/>
    <w:multiLevelType w:val="hybridMultilevel"/>
    <w:tmpl w:val="2690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35635"/>
    <w:multiLevelType w:val="hybridMultilevel"/>
    <w:tmpl w:val="1150A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CE01534"/>
    <w:multiLevelType w:val="hybridMultilevel"/>
    <w:tmpl w:val="4DCAA0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0E7449"/>
    <w:multiLevelType w:val="multilevel"/>
    <w:tmpl w:val="B7EE987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A7409"/>
    <w:multiLevelType w:val="multilevel"/>
    <w:tmpl w:val="844A81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8A1B38"/>
    <w:multiLevelType w:val="hybridMultilevel"/>
    <w:tmpl w:val="F5CC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3496E"/>
    <w:multiLevelType w:val="hybridMultilevel"/>
    <w:tmpl w:val="8EA83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DB257E"/>
    <w:multiLevelType w:val="hybridMultilevel"/>
    <w:tmpl w:val="0910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37EDD"/>
    <w:multiLevelType w:val="hybridMultilevel"/>
    <w:tmpl w:val="4DBA6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E750DA"/>
    <w:multiLevelType w:val="hybridMultilevel"/>
    <w:tmpl w:val="628CF222"/>
    <w:lvl w:ilvl="0" w:tplc="04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36743F7"/>
    <w:multiLevelType w:val="hybridMultilevel"/>
    <w:tmpl w:val="325E85D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4E44B0A"/>
    <w:multiLevelType w:val="hybridMultilevel"/>
    <w:tmpl w:val="2D14B7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26B515F"/>
    <w:multiLevelType w:val="hybridMultilevel"/>
    <w:tmpl w:val="E04EA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015A26"/>
    <w:multiLevelType w:val="hybridMultilevel"/>
    <w:tmpl w:val="AE20ADAC"/>
    <w:lvl w:ilvl="0" w:tplc="0CDCC4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E25D6"/>
    <w:multiLevelType w:val="hybridMultilevel"/>
    <w:tmpl w:val="9940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3B401B"/>
    <w:multiLevelType w:val="hybridMultilevel"/>
    <w:tmpl w:val="0918499A"/>
    <w:lvl w:ilvl="0" w:tplc="F880F24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138D2"/>
    <w:multiLevelType w:val="hybridMultilevel"/>
    <w:tmpl w:val="2190E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7C5655B"/>
    <w:multiLevelType w:val="hybridMultilevel"/>
    <w:tmpl w:val="345626D2"/>
    <w:lvl w:ilvl="0" w:tplc="92228D5A">
      <w:start w:val="1"/>
      <w:numFmt w:val="bullet"/>
      <w:lvlText w:val=""/>
      <w:lvlJc w:val="left"/>
      <w:pPr>
        <w:tabs>
          <w:tab w:val="num" w:pos="720"/>
        </w:tabs>
        <w:ind w:left="720" w:hanging="360"/>
      </w:pPr>
      <w:rPr>
        <w:rFonts w:ascii="Wingdings 3" w:hAnsi="Wingdings 3" w:hint="default"/>
      </w:rPr>
    </w:lvl>
    <w:lvl w:ilvl="1" w:tplc="36D03FCC">
      <w:numFmt w:val="bullet"/>
      <w:lvlText w:val=""/>
      <w:lvlJc w:val="left"/>
      <w:pPr>
        <w:tabs>
          <w:tab w:val="num" w:pos="1440"/>
        </w:tabs>
        <w:ind w:left="1440" w:hanging="360"/>
      </w:pPr>
      <w:rPr>
        <w:rFonts w:ascii="Wingdings 3" w:hAnsi="Wingdings 3" w:hint="default"/>
      </w:rPr>
    </w:lvl>
    <w:lvl w:ilvl="2" w:tplc="F140DE0A" w:tentative="1">
      <w:start w:val="1"/>
      <w:numFmt w:val="bullet"/>
      <w:lvlText w:val=""/>
      <w:lvlJc w:val="left"/>
      <w:pPr>
        <w:tabs>
          <w:tab w:val="num" w:pos="2160"/>
        </w:tabs>
        <w:ind w:left="2160" w:hanging="360"/>
      </w:pPr>
      <w:rPr>
        <w:rFonts w:ascii="Wingdings 3" w:hAnsi="Wingdings 3" w:hint="default"/>
      </w:rPr>
    </w:lvl>
    <w:lvl w:ilvl="3" w:tplc="D6A89B94" w:tentative="1">
      <w:start w:val="1"/>
      <w:numFmt w:val="bullet"/>
      <w:lvlText w:val=""/>
      <w:lvlJc w:val="left"/>
      <w:pPr>
        <w:tabs>
          <w:tab w:val="num" w:pos="2880"/>
        </w:tabs>
        <w:ind w:left="2880" w:hanging="360"/>
      </w:pPr>
      <w:rPr>
        <w:rFonts w:ascii="Wingdings 3" w:hAnsi="Wingdings 3" w:hint="default"/>
      </w:rPr>
    </w:lvl>
    <w:lvl w:ilvl="4" w:tplc="034A9FC6" w:tentative="1">
      <w:start w:val="1"/>
      <w:numFmt w:val="bullet"/>
      <w:lvlText w:val=""/>
      <w:lvlJc w:val="left"/>
      <w:pPr>
        <w:tabs>
          <w:tab w:val="num" w:pos="3600"/>
        </w:tabs>
        <w:ind w:left="3600" w:hanging="360"/>
      </w:pPr>
      <w:rPr>
        <w:rFonts w:ascii="Wingdings 3" w:hAnsi="Wingdings 3" w:hint="default"/>
      </w:rPr>
    </w:lvl>
    <w:lvl w:ilvl="5" w:tplc="E7EC008E" w:tentative="1">
      <w:start w:val="1"/>
      <w:numFmt w:val="bullet"/>
      <w:lvlText w:val=""/>
      <w:lvlJc w:val="left"/>
      <w:pPr>
        <w:tabs>
          <w:tab w:val="num" w:pos="4320"/>
        </w:tabs>
        <w:ind w:left="4320" w:hanging="360"/>
      </w:pPr>
      <w:rPr>
        <w:rFonts w:ascii="Wingdings 3" w:hAnsi="Wingdings 3" w:hint="default"/>
      </w:rPr>
    </w:lvl>
    <w:lvl w:ilvl="6" w:tplc="A56499DA" w:tentative="1">
      <w:start w:val="1"/>
      <w:numFmt w:val="bullet"/>
      <w:lvlText w:val=""/>
      <w:lvlJc w:val="left"/>
      <w:pPr>
        <w:tabs>
          <w:tab w:val="num" w:pos="5040"/>
        </w:tabs>
        <w:ind w:left="5040" w:hanging="360"/>
      </w:pPr>
      <w:rPr>
        <w:rFonts w:ascii="Wingdings 3" w:hAnsi="Wingdings 3" w:hint="default"/>
      </w:rPr>
    </w:lvl>
    <w:lvl w:ilvl="7" w:tplc="D1A2D1B2" w:tentative="1">
      <w:start w:val="1"/>
      <w:numFmt w:val="bullet"/>
      <w:lvlText w:val=""/>
      <w:lvlJc w:val="left"/>
      <w:pPr>
        <w:tabs>
          <w:tab w:val="num" w:pos="5760"/>
        </w:tabs>
        <w:ind w:left="5760" w:hanging="360"/>
      </w:pPr>
      <w:rPr>
        <w:rFonts w:ascii="Wingdings 3" w:hAnsi="Wingdings 3" w:hint="default"/>
      </w:rPr>
    </w:lvl>
    <w:lvl w:ilvl="8" w:tplc="295CF63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A4F5917"/>
    <w:multiLevelType w:val="hybridMultilevel"/>
    <w:tmpl w:val="4CD8726C"/>
    <w:lvl w:ilvl="0" w:tplc="F880F24A">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975994"/>
    <w:multiLevelType w:val="hybridMultilevel"/>
    <w:tmpl w:val="B8DC5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39E6E5C"/>
    <w:multiLevelType w:val="hybridMultilevel"/>
    <w:tmpl w:val="10E20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58A1BE5"/>
    <w:multiLevelType w:val="multilevel"/>
    <w:tmpl w:val="C85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154B8C"/>
    <w:multiLevelType w:val="hybridMultilevel"/>
    <w:tmpl w:val="070E2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58A72D3"/>
    <w:multiLevelType w:val="hybridMultilevel"/>
    <w:tmpl w:val="B2FAD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27" w15:restartNumberingAfterBreak="0">
    <w:nsid w:val="7E834E92"/>
    <w:multiLevelType w:val="hybridMultilevel"/>
    <w:tmpl w:val="75ACE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6"/>
  </w:num>
  <w:num w:numId="4">
    <w:abstractNumId w:val="20"/>
  </w:num>
  <w:num w:numId="5">
    <w:abstractNumId w:val="8"/>
  </w:num>
  <w:num w:numId="6">
    <w:abstractNumId w:val="26"/>
  </w:num>
  <w:num w:numId="7">
    <w:abstractNumId w:val="4"/>
  </w:num>
  <w:num w:numId="8">
    <w:abstractNumId w:val="18"/>
  </w:num>
  <w:num w:numId="9">
    <w:abstractNumId w:val="22"/>
  </w:num>
  <w:num w:numId="10">
    <w:abstractNumId w:val="21"/>
  </w:num>
  <w:num w:numId="11">
    <w:abstractNumId w:val="23"/>
  </w:num>
  <w:num w:numId="12">
    <w:abstractNumId w:val="11"/>
  </w:num>
  <w:num w:numId="13">
    <w:abstractNumId w:val="17"/>
  </w:num>
  <w:num w:numId="14">
    <w:abstractNumId w:val="5"/>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9"/>
  </w:num>
  <w:num w:numId="23">
    <w:abstractNumId w:val="27"/>
  </w:num>
  <w:num w:numId="24">
    <w:abstractNumId w:val="1"/>
  </w:num>
  <w:num w:numId="25">
    <w:abstractNumId w:val="25"/>
  </w:num>
  <w:num w:numId="26">
    <w:abstractNumId w:val="9"/>
  </w:num>
  <w:num w:numId="27">
    <w:abstractNumId w:val="10"/>
  </w:num>
  <w:num w:numId="28">
    <w:abstractNumId w:val="13"/>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A3"/>
    <w:rsid w:val="0000045B"/>
    <w:rsid w:val="00004F3B"/>
    <w:rsid w:val="00010C74"/>
    <w:rsid w:val="00011062"/>
    <w:rsid w:val="0001130E"/>
    <w:rsid w:val="00013DE6"/>
    <w:rsid w:val="00014238"/>
    <w:rsid w:val="00020F5E"/>
    <w:rsid w:val="00032D9F"/>
    <w:rsid w:val="000375B0"/>
    <w:rsid w:val="0004037A"/>
    <w:rsid w:val="0004287D"/>
    <w:rsid w:val="00053142"/>
    <w:rsid w:val="000563FB"/>
    <w:rsid w:val="00065514"/>
    <w:rsid w:val="000769AE"/>
    <w:rsid w:val="00080AB7"/>
    <w:rsid w:val="00083D33"/>
    <w:rsid w:val="000900EC"/>
    <w:rsid w:val="00090393"/>
    <w:rsid w:val="00092E70"/>
    <w:rsid w:val="000931A9"/>
    <w:rsid w:val="00095ACA"/>
    <w:rsid w:val="000A710C"/>
    <w:rsid w:val="000C28C9"/>
    <w:rsid w:val="000C6F3B"/>
    <w:rsid w:val="000D3881"/>
    <w:rsid w:val="000E22FB"/>
    <w:rsid w:val="000E4B0F"/>
    <w:rsid w:val="000F3591"/>
    <w:rsid w:val="001003CC"/>
    <w:rsid w:val="00102FD0"/>
    <w:rsid w:val="001072D0"/>
    <w:rsid w:val="00124318"/>
    <w:rsid w:val="0013673C"/>
    <w:rsid w:val="0014049D"/>
    <w:rsid w:val="00145DB7"/>
    <w:rsid w:val="00146D65"/>
    <w:rsid w:val="001500D1"/>
    <w:rsid w:val="00151417"/>
    <w:rsid w:val="00156173"/>
    <w:rsid w:val="001624CF"/>
    <w:rsid w:val="00163864"/>
    <w:rsid w:val="00171A70"/>
    <w:rsid w:val="00174904"/>
    <w:rsid w:val="00177B02"/>
    <w:rsid w:val="00190DA1"/>
    <w:rsid w:val="00193500"/>
    <w:rsid w:val="001B3D4D"/>
    <w:rsid w:val="001B57DB"/>
    <w:rsid w:val="001B5B52"/>
    <w:rsid w:val="001B5E73"/>
    <w:rsid w:val="001C06FB"/>
    <w:rsid w:val="001C4D48"/>
    <w:rsid w:val="001C57EA"/>
    <w:rsid w:val="001F1989"/>
    <w:rsid w:val="001F35D5"/>
    <w:rsid w:val="001F4ECE"/>
    <w:rsid w:val="001F6C17"/>
    <w:rsid w:val="001F7F1F"/>
    <w:rsid w:val="00200033"/>
    <w:rsid w:val="00211F33"/>
    <w:rsid w:val="00223B6F"/>
    <w:rsid w:val="00226E32"/>
    <w:rsid w:val="00230BB7"/>
    <w:rsid w:val="00235F87"/>
    <w:rsid w:val="00245265"/>
    <w:rsid w:val="00245956"/>
    <w:rsid w:val="00255DD6"/>
    <w:rsid w:val="002704B1"/>
    <w:rsid w:val="00276636"/>
    <w:rsid w:val="00277B12"/>
    <w:rsid w:val="002878AA"/>
    <w:rsid w:val="00287E8B"/>
    <w:rsid w:val="002970E4"/>
    <w:rsid w:val="002A289A"/>
    <w:rsid w:val="002C49AA"/>
    <w:rsid w:val="002C5B2C"/>
    <w:rsid w:val="002D3EC0"/>
    <w:rsid w:val="002E0EA7"/>
    <w:rsid w:val="002E4A7A"/>
    <w:rsid w:val="002E5D47"/>
    <w:rsid w:val="00302BA4"/>
    <w:rsid w:val="00313AE8"/>
    <w:rsid w:val="00321D32"/>
    <w:rsid w:val="00332726"/>
    <w:rsid w:val="003407B9"/>
    <w:rsid w:val="003455E6"/>
    <w:rsid w:val="00353076"/>
    <w:rsid w:val="003633E0"/>
    <w:rsid w:val="0036655D"/>
    <w:rsid w:val="0036742C"/>
    <w:rsid w:val="00372764"/>
    <w:rsid w:val="00374709"/>
    <w:rsid w:val="00375E32"/>
    <w:rsid w:val="00381004"/>
    <w:rsid w:val="00384174"/>
    <w:rsid w:val="00397230"/>
    <w:rsid w:val="003A20B2"/>
    <w:rsid w:val="003B62AD"/>
    <w:rsid w:val="003C11BE"/>
    <w:rsid w:val="003D2233"/>
    <w:rsid w:val="003D3699"/>
    <w:rsid w:val="003E3534"/>
    <w:rsid w:val="003F466A"/>
    <w:rsid w:val="00405DE0"/>
    <w:rsid w:val="00410AC1"/>
    <w:rsid w:val="00423624"/>
    <w:rsid w:val="00424607"/>
    <w:rsid w:val="00437A6C"/>
    <w:rsid w:val="00440781"/>
    <w:rsid w:val="004413CA"/>
    <w:rsid w:val="00445327"/>
    <w:rsid w:val="00446C30"/>
    <w:rsid w:val="00451750"/>
    <w:rsid w:val="00456300"/>
    <w:rsid w:val="00472F28"/>
    <w:rsid w:val="004841A0"/>
    <w:rsid w:val="0048636E"/>
    <w:rsid w:val="004935C2"/>
    <w:rsid w:val="004969F9"/>
    <w:rsid w:val="004A1F7A"/>
    <w:rsid w:val="004A21FE"/>
    <w:rsid w:val="004B17FB"/>
    <w:rsid w:val="004B2880"/>
    <w:rsid w:val="004B6471"/>
    <w:rsid w:val="004B6B95"/>
    <w:rsid w:val="004C651D"/>
    <w:rsid w:val="004D2A61"/>
    <w:rsid w:val="004D4C20"/>
    <w:rsid w:val="004D6F1B"/>
    <w:rsid w:val="004E5ED2"/>
    <w:rsid w:val="004F2947"/>
    <w:rsid w:val="004F2AEC"/>
    <w:rsid w:val="004F6B29"/>
    <w:rsid w:val="00503A04"/>
    <w:rsid w:val="005071A0"/>
    <w:rsid w:val="00510540"/>
    <w:rsid w:val="00514CC1"/>
    <w:rsid w:val="00536516"/>
    <w:rsid w:val="00537540"/>
    <w:rsid w:val="0054008B"/>
    <w:rsid w:val="005466BB"/>
    <w:rsid w:val="00546E06"/>
    <w:rsid w:val="00571271"/>
    <w:rsid w:val="00573079"/>
    <w:rsid w:val="00580DE1"/>
    <w:rsid w:val="00585E3D"/>
    <w:rsid w:val="00590961"/>
    <w:rsid w:val="005A0235"/>
    <w:rsid w:val="005B0DC2"/>
    <w:rsid w:val="005C1935"/>
    <w:rsid w:val="005C2E79"/>
    <w:rsid w:val="005D30BF"/>
    <w:rsid w:val="005D39F6"/>
    <w:rsid w:val="005D6901"/>
    <w:rsid w:val="005E2B9F"/>
    <w:rsid w:val="005E7E3C"/>
    <w:rsid w:val="005F364E"/>
    <w:rsid w:val="005F4235"/>
    <w:rsid w:val="006009F5"/>
    <w:rsid w:val="00601823"/>
    <w:rsid w:val="00601B40"/>
    <w:rsid w:val="006031F8"/>
    <w:rsid w:val="00610991"/>
    <w:rsid w:val="00614463"/>
    <w:rsid w:val="00622928"/>
    <w:rsid w:val="006331C6"/>
    <w:rsid w:val="00633C82"/>
    <w:rsid w:val="006362C7"/>
    <w:rsid w:val="00637AB8"/>
    <w:rsid w:val="00644AF8"/>
    <w:rsid w:val="00651369"/>
    <w:rsid w:val="0067565A"/>
    <w:rsid w:val="00683258"/>
    <w:rsid w:val="00686091"/>
    <w:rsid w:val="006907C4"/>
    <w:rsid w:val="006A08C4"/>
    <w:rsid w:val="006A41F6"/>
    <w:rsid w:val="006C2E72"/>
    <w:rsid w:val="006C4E98"/>
    <w:rsid w:val="006D6239"/>
    <w:rsid w:val="006E30B2"/>
    <w:rsid w:val="006E5232"/>
    <w:rsid w:val="006E73B6"/>
    <w:rsid w:val="006F24E3"/>
    <w:rsid w:val="006F63DE"/>
    <w:rsid w:val="00701F7F"/>
    <w:rsid w:val="00702A95"/>
    <w:rsid w:val="00712B77"/>
    <w:rsid w:val="00723BA7"/>
    <w:rsid w:val="00727058"/>
    <w:rsid w:val="00730CEB"/>
    <w:rsid w:val="00731154"/>
    <w:rsid w:val="007434E0"/>
    <w:rsid w:val="00744EEA"/>
    <w:rsid w:val="00763BDD"/>
    <w:rsid w:val="00780987"/>
    <w:rsid w:val="00793921"/>
    <w:rsid w:val="00796452"/>
    <w:rsid w:val="007A016E"/>
    <w:rsid w:val="007A0AE6"/>
    <w:rsid w:val="007A26C4"/>
    <w:rsid w:val="007A4080"/>
    <w:rsid w:val="007C63D4"/>
    <w:rsid w:val="007D4ED3"/>
    <w:rsid w:val="007D5825"/>
    <w:rsid w:val="007E3E3E"/>
    <w:rsid w:val="007F314C"/>
    <w:rsid w:val="007F65E1"/>
    <w:rsid w:val="008021EF"/>
    <w:rsid w:val="00803246"/>
    <w:rsid w:val="00823694"/>
    <w:rsid w:val="00846B3B"/>
    <w:rsid w:val="008507E4"/>
    <w:rsid w:val="008534DF"/>
    <w:rsid w:val="00857FE9"/>
    <w:rsid w:val="00875926"/>
    <w:rsid w:val="008806E3"/>
    <w:rsid w:val="00880F85"/>
    <w:rsid w:val="008820B5"/>
    <w:rsid w:val="0089285D"/>
    <w:rsid w:val="0089554F"/>
    <w:rsid w:val="008A25CE"/>
    <w:rsid w:val="008A77C6"/>
    <w:rsid w:val="008B0D21"/>
    <w:rsid w:val="008B669B"/>
    <w:rsid w:val="008C28C4"/>
    <w:rsid w:val="008D39F1"/>
    <w:rsid w:val="008E2D9A"/>
    <w:rsid w:val="008F0A9B"/>
    <w:rsid w:val="008F1CA3"/>
    <w:rsid w:val="008F5897"/>
    <w:rsid w:val="00910AAC"/>
    <w:rsid w:val="00910C41"/>
    <w:rsid w:val="009148DF"/>
    <w:rsid w:val="00915044"/>
    <w:rsid w:val="00917ACC"/>
    <w:rsid w:val="00921652"/>
    <w:rsid w:val="00927DFD"/>
    <w:rsid w:val="00935E6B"/>
    <w:rsid w:val="0094082C"/>
    <w:rsid w:val="00957763"/>
    <w:rsid w:val="00960B88"/>
    <w:rsid w:val="009618E4"/>
    <w:rsid w:val="00967DB9"/>
    <w:rsid w:val="0098000A"/>
    <w:rsid w:val="00982ACD"/>
    <w:rsid w:val="00983E77"/>
    <w:rsid w:val="009931FE"/>
    <w:rsid w:val="00995C6A"/>
    <w:rsid w:val="00995EDA"/>
    <w:rsid w:val="009A4AEA"/>
    <w:rsid w:val="009A5FD3"/>
    <w:rsid w:val="009B0441"/>
    <w:rsid w:val="009B6E3E"/>
    <w:rsid w:val="009B7BD1"/>
    <w:rsid w:val="009C12D4"/>
    <w:rsid w:val="009C7E7E"/>
    <w:rsid w:val="009F2C19"/>
    <w:rsid w:val="00A05076"/>
    <w:rsid w:val="00A11A38"/>
    <w:rsid w:val="00A12E26"/>
    <w:rsid w:val="00A15290"/>
    <w:rsid w:val="00A207D4"/>
    <w:rsid w:val="00A31916"/>
    <w:rsid w:val="00A55B0F"/>
    <w:rsid w:val="00A57789"/>
    <w:rsid w:val="00A7064B"/>
    <w:rsid w:val="00A82D45"/>
    <w:rsid w:val="00A86A8B"/>
    <w:rsid w:val="00A92059"/>
    <w:rsid w:val="00A949A5"/>
    <w:rsid w:val="00A97F9E"/>
    <w:rsid w:val="00AB162E"/>
    <w:rsid w:val="00AC0A66"/>
    <w:rsid w:val="00AC1170"/>
    <w:rsid w:val="00AC3988"/>
    <w:rsid w:val="00AE25D2"/>
    <w:rsid w:val="00AF134D"/>
    <w:rsid w:val="00AF5453"/>
    <w:rsid w:val="00B073E1"/>
    <w:rsid w:val="00B11DF2"/>
    <w:rsid w:val="00B21331"/>
    <w:rsid w:val="00B26250"/>
    <w:rsid w:val="00B32652"/>
    <w:rsid w:val="00B356D9"/>
    <w:rsid w:val="00B4461B"/>
    <w:rsid w:val="00B550BE"/>
    <w:rsid w:val="00B560D3"/>
    <w:rsid w:val="00B56E06"/>
    <w:rsid w:val="00B718C0"/>
    <w:rsid w:val="00B7657F"/>
    <w:rsid w:val="00B76CBC"/>
    <w:rsid w:val="00B90373"/>
    <w:rsid w:val="00B9795B"/>
    <w:rsid w:val="00B97C81"/>
    <w:rsid w:val="00BA0B9D"/>
    <w:rsid w:val="00BB3563"/>
    <w:rsid w:val="00BC26C3"/>
    <w:rsid w:val="00BC4893"/>
    <w:rsid w:val="00BC6F5A"/>
    <w:rsid w:val="00BE5492"/>
    <w:rsid w:val="00BF3BFD"/>
    <w:rsid w:val="00BF6518"/>
    <w:rsid w:val="00C221C8"/>
    <w:rsid w:val="00C52495"/>
    <w:rsid w:val="00C5685E"/>
    <w:rsid w:val="00C64CD8"/>
    <w:rsid w:val="00C73E92"/>
    <w:rsid w:val="00C77ABA"/>
    <w:rsid w:val="00C84053"/>
    <w:rsid w:val="00C97120"/>
    <w:rsid w:val="00CA1A92"/>
    <w:rsid w:val="00CA4FC8"/>
    <w:rsid w:val="00CB3D47"/>
    <w:rsid w:val="00CB6D95"/>
    <w:rsid w:val="00CD1CDB"/>
    <w:rsid w:val="00CD7211"/>
    <w:rsid w:val="00CE06AA"/>
    <w:rsid w:val="00CE1DAF"/>
    <w:rsid w:val="00CE2FC6"/>
    <w:rsid w:val="00CE57B3"/>
    <w:rsid w:val="00CF68DC"/>
    <w:rsid w:val="00D04237"/>
    <w:rsid w:val="00D04340"/>
    <w:rsid w:val="00D10EEB"/>
    <w:rsid w:val="00D2163D"/>
    <w:rsid w:val="00D24D14"/>
    <w:rsid w:val="00D30BA0"/>
    <w:rsid w:val="00D34355"/>
    <w:rsid w:val="00D44A44"/>
    <w:rsid w:val="00D521C0"/>
    <w:rsid w:val="00D57DE3"/>
    <w:rsid w:val="00D661A4"/>
    <w:rsid w:val="00D801A9"/>
    <w:rsid w:val="00D803A6"/>
    <w:rsid w:val="00D83D86"/>
    <w:rsid w:val="00D84FBD"/>
    <w:rsid w:val="00D8534F"/>
    <w:rsid w:val="00D85DE8"/>
    <w:rsid w:val="00D87944"/>
    <w:rsid w:val="00DA0BEA"/>
    <w:rsid w:val="00DA0DAA"/>
    <w:rsid w:val="00DA606F"/>
    <w:rsid w:val="00DB106B"/>
    <w:rsid w:val="00DC7DAA"/>
    <w:rsid w:val="00DD4F92"/>
    <w:rsid w:val="00DE1F42"/>
    <w:rsid w:val="00DF76DA"/>
    <w:rsid w:val="00E14432"/>
    <w:rsid w:val="00E15816"/>
    <w:rsid w:val="00E17DDD"/>
    <w:rsid w:val="00E262EB"/>
    <w:rsid w:val="00E407B9"/>
    <w:rsid w:val="00E4340A"/>
    <w:rsid w:val="00E46330"/>
    <w:rsid w:val="00E478FC"/>
    <w:rsid w:val="00E61065"/>
    <w:rsid w:val="00E62A78"/>
    <w:rsid w:val="00E638CA"/>
    <w:rsid w:val="00E70C3F"/>
    <w:rsid w:val="00E855AF"/>
    <w:rsid w:val="00EA02F1"/>
    <w:rsid w:val="00EA3413"/>
    <w:rsid w:val="00EA3BB9"/>
    <w:rsid w:val="00EB1958"/>
    <w:rsid w:val="00EC1645"/>
    <w:rsid w:val="00ED4270"/>
    <w:rsid w:val="00EE43ED"/>
    <w:rsid w:val="00EE67CA"/>
    <w:rsid w:val="00EF12DA"/>
    <w:rsid w:val="00EF7894"/>
    <w:rsid w:val="00F012CD"/>
    <w:rsid w:val="00F054E0"/>
    <w:rsid w:val="00F10CB9"/>
    <w:rsid w:val="00F1522D"/>
    <w:rsid w:val="00F1628A"/>
    <w:rsid w:val="00F257B4"/>
    <w:rsid w:val="00F35A52"/>
    <w:rsid w:val="00F400EE"/>
    <w:rsid w:val="00F40AB3"/>
    <w:rsid w:val="00F40F6A"/>
    <w:rsid w:val="00F4249F"/>
    <w:rsid w:val="00F47FFB"/>
    <w:rsid w:val="00F539A3"/>
    <w:rsid w:val="00F60957"/>
    <w:rsid w:val="00F65C63"/>
    <w:rsid w:val="00F74881"/>
    <w:rsid w:val="00F7543A"/>
    <w:rsid w:val="00F87094"/>
    <w:rsid w:val="00F87863"/>
    <w:rsid w:val="00FA22A5"/>
    <w:rsid w:val="00FA7E2F"/>
    <w:rsid w:val="00FB55E2"/>
    <w:rsid w:val="00FD095C"/>
    <w:rsid w:val="00FD2A40"/>
    <w:rsid w:val="00FD32F0"/>
    <w:rsid w:val="00FE2BB9"/>
    <w:rsid w:val="00FE466B"/>
    <w:rsid w:val="00FF563C"/>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F1741"/>
  <w15:chartTrackingRefBased/>
  <w15:docId w15:val="{0866A0BD-1E61-4814-B560-B78B8960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9D"/>
    <w:pPr>
      <w:spacing w:before="240"/>
    </w:pPr>
  </w:style>
  <w:style w:type="paragraph" w:styleId="Heading1">
    <w:name w:val="heading 1"/>
    <w:basedOn w:val="Normal"/>
    <w:next w:val="Normal"/>
    <w:link w:val="Heading1Char"/>
    <w:uiPriority w:val="9"/>
    <w:qFormat/>
    <w:rsid w:val="0014049D"/>
    <w:pPr>
      <w:spacing w:after="0" w:line="276" w:lineRule="auto"/>
      <w:jc w:val="both"/>
      <w:outlineLvl w:val="0"/>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16"/>
  </w:style>
  <w:style w:type="paragraph" w:styleId="Footer">
    <w:name w:val="footer"/>
    <w:basedOn w:val="Normal"/>
    <w:link w:val="FooterChar"/>
    <w:uiPriority w:val="99"/>
    <w:unhideWhenUsed/>
    <w:qFormat/>
    <w:rsid w:val="00E15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16"/>
  </w:style>
  <w:style w:type="character" w:styleId="Hyperlink">
    <w:name w:val="Hyperlink"/>
    <w:basedOn w:val="DefaultParagraphFont"/>
    <w:uiPriority w:val="99"/>
    <w:unhideWhenUsed/>
    <w:rsid w:val="00174904"/>
    <w:rPr>
      <w:color w:val="0563C1" w:themeColor="hyperlink"/>
      <w:u w:val="single"/>
    </w:rPr>
  </w:style>
  <w:style w:type="character" w:styleId="UnresolvedMention">
    <w:name w:val="Unresolved Mention"/>
    <w:basedOn w:val="DefaultParagraphFont"/>
    <w:uiPriority w:val="99"/>
    <w:semiHidden/>
    <w:unhideWhenUsed/>
    <w:rsid w:val="00174904"/>
    <w:rPr>
      <w:color w:val="605E5C"/>
      <w:shd w:val="clear" w:color="auto" w:fill="E1DFDD"/>
    </w:rPr>
  </w:style>
  <w:style w:type="character" w:styleId="FollowedHyperlink">
    <w:name w:val="FollowedHyperlink"/>
    <w:basedOn w:val="DefaultParagraphFont"/>
    <w:uiPriority w:val="99"/>
    <w:semiHidden/>
    <w:unhideWhenUsed/>
    <w:rsid w:val="00174904"/>
    <w:rPr>
      <w:color w:val="954F72" w:themeColor="followedHyperlink"/>
      <w:u w:val="single"/>
    </w:rPr>
  </w:style>
  <w:style w:type="paragraph" w:styleId="BalloonText">
    <w:name w:val="Balloon Text"/>
    <w:basedOn w:val="Normal"/>
    <w:link w:val="BalloonTextChar"/>
    <w:uiPriority w:val="99"/>
    <w:semiHidden/>
    <w:unhideWhenUsed/>
    <w:rsid w:val="006F2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4E3"/>
    <w:rPr>
      <w:rFonts w:ascii="Segoe UI" w:hAnsi="Segoe UI" w:cs="Segoe UI"/>
      <w:sz w:val="18"/>
      <w:szCs w:val="18"/>
    </w:rPr>
  </w:style>
  <w:style w:type="character" w:styleId="CommentReference">
    <w:name w:val="annotation reference"/>
    <w:basedOn w:val="DefaultParagraphFont"/>
    <w:uiPriority w:val="99"/>
    <w:semiHidden/>
    <w:unhideWhenUsed/>
    <w:rsid w:val="003D2233"/>
    <w:rPr>
      <w:sz w:val="16"/>
      <w:szCs w:val="16"/>
    </w:rPr>
  </w:style>
  <w:style w:type="paragraph" w:styleId="CommentText">
    <w:name w:val="annotation text"/>
    <w:basedOn w:val="Normal"/>
    <w:link w:val="CommentTextChar"/>
    <w:uiPriority w:val="99"/>
    <w:semiHidden/>
    <w:unhideWhenUsed/>
    <w:rsid w:val="003D2233"/>
    <w:pPr>
      <w:spacing w:line="240" w:lineRule="auto"/>
    </w:pPr>
    <w:rPr>
      <w:sz w:val="20"/>
      <w:szCs w:val="20"/>
    </w:rPr>
  </w:style>
  <w:style w:type="character" w:customStyle="1" w:styleId="CommentTextChar">
    <w:name w:val="Comment Text Char"/>
    <w:basedOn w:val="DefaultParagraphFont"/>
    <w:link w:val="CommentText"/>
    <w:uiPriority w:val="99"/>
    <w:semiHidden/>
    <w:rsid w:val="003D2233"/>
    <w:rPr>
      <w:sz w:val="20"/>
      <w:szCs w:val="20"/>
    </w:rPr>
  </w:style>
  <w:style w:type="paragraph" w:styleId="CommentSubject">
    <w:name w:val="annotation subject"/>
    <w:basedOn w:val="CommentText"/>
    <w:next w:val="CommentText"/>
    <w:link w:val="CommentSubjectChar"/>
    <w:uiPriority w:val="99"/>
    <w:semiHidden/>
    <w:unhideWhenUsed/>
    <w:rsid w:val="003D2233"/>
    <w:rPr>
      <w:b/>
      <w:bCs/>
    </w:rPr>
  </w:style>
  <w:style w:type="character" w:customStyle="1" w:styleId="CommentSubjectChar">
    <w:name w:val="Comment Subject Char"/>
    <w:basedOn w:val="CommentTextChar"/>
    <w:link w:val="CommentSubject"/>
    <w:uiPriority w:val="99"/>
    <w:semiHidden/>
    <w:rsid w:val="003D2233"/>
    <w:rPr>
      <w:b/>
      <w:bCs/>
      <w:sz w:val="20"/>
      <w:szCs w:val="20"/>
    </w:rPr>
  </w:style>
  <w:style w:type="paragraph" w:styleId="ListParagraph">
    <w:name w:val="List Paragraph"/>
    <w:basedOn w:val="Normal"/>
    <w:uiPriority w:val="34"/>
    <w:qFormat/>
    <w:rsid w:val="001500D1"/>
    <w:pPr>
      <w:ind w:left="720"/>
      <w:contextualSpacing/>
    </w:pPr>
  </w:style>
  <w:style w:type="paragraph" w:styleId="Revision">
    <w:name w:val="Revision"/>
    <w:hidden/>
    <w:uiPriority w:val="99"/>
    <w:semiHidden/>
    <w:rsid w:val="008806E3"/>
    <w:pPr>
      <w:spacing w:after="0" w:line="240" w:lineRule="auto"/>
    </w:pPr>
  </w:style>
  <w:style w:type="paragraph" w:styleId="FootnoteText">
    <w:name w:val="footnote text"/>
    <w:basedOn w:val="Normal"/>
    <w:link w:val="FootnoteTextChar"/>
    <w:uiPriority w:val="99"/>
    <w:semiHidden/>
    <w:unhideWhenUsed/>
    <w:rsid w:val="00095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ACA"/>
    <w:rPr>
      <w:sz w:val="20"/>
      <w:szCs w:val="20"/>
    </w:rPr>
  </w:style>
  <w:style w:type="character" w:styleId="FootnoteReference">
    <w:name w:val="footnote reference"/>
    <w:basedOn w:val="DefaultParagraphFont"/>
    <w:uiPriority w:val="99"/>
    <w:semiHidden/>
    <w:unhideWhenUsed/>
    <w:rsid w:val="00095ACA"/>
    <w:rPr>
      <w:vertAlign w:val="superscript"/>
    </w:rPr>
  </w:style>
  <w:style w:type="paragraph" w:styleId="NormalWeb">
    <w:name w:val="Normal (Web)"/>
    <w:basedOn w:val="Normal"/>
    <w:uiPriority w:val="99"/>
    <w:semiHidden/>
    <w:unhideWhenUsed/>
    <w:rsid w:val="00D10EEB"/>
    <w:pPr>
      <w:spacing w:before="100" w:beforeAutospacing="1" w:after="100" w:afterAutospacing="1" w:line="240" w:lineRule="auto"/>
    </w:pPr>
    <w:rPr>
      <w:rFonts w:ascii="Calibri" w:hAnsi="Calibri" w:cs="Calibri"/>
      <w:lang w:val="en-AU" w:eastAsia="en-AU"/>
    </w:rPr>
  </w:style>
  <w:style w:type="paragraph" w:customStyle="1" w:styleId="Default">
    <w:name w:val="Default"/>
    <w:rsid w:val="007D4ED3"/>
    <w:pPr>
      <w:autoSpaceDE w:val="0"/>
      <w:autoSpaceDN w:val="0"/>
      <w:adjustRightInd w:val="0"/>
      <w:spacing w:after="0" w:line="240" w:lineRule="auto"/>
    </w:pPr>
    <w:rPr>
      <w:rFonts w:ascii="Helvetica LT Std" w:hAnsi="Helvetica LT Std" w:cs="Helvetica LT Std"/>
      <w:color w:val="000000"/>
      <w:sz w:val="24"/>
      <w:szCs w:val="24"/>
    </w:rPr>
  </w:style>
  <w:style w:type="character" w:styleId="Strong">
    <w:name w:val="Strong"/>
    <w:basedOn w:val="DefaultParagraphFont"/>
    <w:uiPriority w:val="22"/>
    <w:qFormat/>
    <w:rsid w:val="007D4ED3"/>
    <w:rPr>
      <w:b/>
      <w:bCs/>
    </w:rPr>
  </w:style>
  <w:style w:type="paragraph" w:styleId="Title">
    <w:name w:val="Title"/>
    <w:basedOn w:val="Normal"/>
    <w:next w:val="Normal"/>
    <w:link w:val="TitleChar"/>
    <w:uiPriority w:val="10"/>
    <w:qFormat/>
    <w:rsid w:val="0014049D"/>
    <w:pPr>
      <w:spacing w:after="0" w:line="276" w:lineRule="auto"/>
      <w:jc w:val="both"/>
    </w:pPr>
    <w:rPr>
      <w:rFonts w:cstheme="minorHAnsi"/>
      <w:b/>
      <w:bCs/>
    </w:rPr>
  </w:style>
  <w:style w:type="character" w:customStyle="1" w:styleId="TitleChar">
    <w:name w:val="Title Char"/>
    <w:basedOn w:val="DefaultParagraphFont"/>
    <w:link w:val="Title"/>
    <w:uiPriority w:val="10"/>
    <w:rsid w:val="0014049D"/>
    <w:rPr>
      <w:rFonts w:cstheme="minorHAnsi"/>
      <w:b/>
      <w:bCs/>
    </w:rPr>
  </w:style>
  <w:style w:type="character" w:customStyle="1" w:styleId="Heading1Char">
    <w:name w:val="Heading 1 Char"/>
    <w:basedOn w:val="DefaultParagraphFont"/>
    <w:link w:val="Heading1"/>
    <w:uiPriority w:val="9"/>
    <w:rsid w:val="0014049D"/>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92150">
      <w:bodyDiv w:val="1"/>
      <w:marLeft w:val="0"/>
      <w:marRight w:val="0"/>
      <w:marTop w:val="0"/>
      <w:marBottom w:val="0"/>
      <w:divBdr>
        <w:top w:val="none" w:sz="0" w:space="0" w:color="auto"/>
        <w:left w:val="none" w:sz="0" w:space="0" w:color="auto"/>
        <w:bottom w:val="none" w:sz="0" w:space="0" w:color="auto"/>
        <w:right w:val="none" w:sz="0" w:space="0" w:color="auto"/>
      </w:divBdr>
    </w:div>
    <w:div w:id="64422937">
      <w:bodyDiv w:val="1"/>
      <w:marLeft w:val="0"/>
      <w:marRight w:val="0"/>
      <w:marTop w:val="0"/>
      <w:marBottom w:val="0"/>
      <w:divBdr>
        <w:top w:val="none" w:sz="0" w:space="0" w:color="auto"/>
        <w:left w:val="none" w:sz="0" w:space="0" w:color="auto"/>
        <w:bottom w:val="none" w:sz="0" w:space="0" w:color="auto"/>
        <w:right w:val="none" w:sz="0" w:space="0" w:color="auto"/>
      </w:divBdr>
    </w:div>
    <w:div w:id="207645245">
      <w:bodyDiv w:val="1"/>
      <w:marLeft w:val="0"/>
      <w:marRight w:val="0"/>
      <w:marTop w:val="0"/>
      <w:marBottom w:val="0"/>
      <w:divBdr>
        <w:top w:val="none" w:sz="0" w:space="0" w:color="auto"/>
        <w:left w:val="none" w:sz="0" w:space="0" w:color="auto"/>
        <w:bottom w:val="none" w:sz="0" w:space="0" w:color="auto"/>
        <w:right w:val="none" w:sz="0" w:space="0" w:color="auto"/>
      </w:divBdr>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95076326">
      <w:bodyDiv w:val="1"/>
      <w:marLeft w:val="0"/>
      <w:marRight w:val="0"/>
      <w:marTop w:val="0"/>
      <w:marBottom w:val="0"/>
      <w:divBdr>
        <w:top w:val="none" w:sz="0" w:space="0" w:color="auto"/>
        <w:left w:val="none" w:sz="0" w:space="0" w:color="auto"/>
        <w:bottom w:val="none" w:sz="0" w:space="0" w:color="auto"/>
        <w:right w:val="none" w:sz="0" w:space="0" w:color="auto"/>
      </w:divBdr>
    </w:div>
    <w:div w:id="543836827">
      <w:bodyDiv w:val="1"/>
      <w:marLeft w:val="0"/>
      <w:marRight w:val="0"/>
      <w:marTop w:val="0"/>
      <w:marBottom w:val="0"/>
      <w:divBdr>
        <w:top w:val="none" w:sz="0" w:space="0" w:color="auto"/>
        <w:left w:val="none" w:sz="0" w:space="0" w:color="auto"/>
        <w:bottom w:val="none" w:sz="0" w:space="0" w:color="auto"/>
        <w:right w:val="none" w:sz="0" w:space="0" w:color="auto"/>
      </w:divBdr>
    </w:div>
    <w:div w:id="549072342">
      <w:bodyDiv w:val="1"/>
      <w:marLeft w:val="0"/>
      <w:marRight w:val="0"/>
      <w:marTop w:val="0"/>
      <w:marBottom w:val="0"/>
      <w:divBdr>
        <w:top w:val="none" w:sz="0" w:space="0" w:color="auto"/>
        <w:left w:val="none" w:sz="0" w:space="0" w:color="auto"/>
        <w:bottom w:val="none" w:sz="0" w:space="0" w:color="auto"/>
        <w:right w:val="none" w:sz="0" w:space="0" w:color="auto"/>
      </w:divBdr>
    </w:div>
    <w:div w:id="999432153">
      <w:bodyDiv w:val="1"/>
      <w:marLeft w:val="0"/>
      <w:marRight w:val="0"/>
      <w:marTop w:val="0"/>
      <w:marBottom w:val="0"/>
      <w:divBdr>
        <w:top w:val="none" w:sz="0" w:space="0" w:color="auto"/>
        <w:left w:val="none" w:sz="0" w:space="0" w:color="auto"/>
        <w:bottom w:val="none" w:sz="0" w:space="0" w:color="auto"/>
        <w:right w:val="none" w:sz="0" w:space="0" w:color="auto"/>
      </w:divBdr>
      <w:divsChild>
        <w:div w:id="30885319">
          <w:marLeft w:val="446"/>
          <w:marRight w:val="0"/>
          <w:marTop w:val="53"/>
          <w:marBottom w:val="120"/>
          <w:divBdr>
            <w:top w:val="none" w:sz="0" w:space="0" w:color="auto"/>
            <w:left w:val="none" w:sz="0" w:space="0" w:color="auto"/>
            <w:bottom w:val="none" w:sz="0" w:space="0" w:color="auto"/>
            <w:right w:val="none" w:sz="0" w:space="0" w:color="auto"/>
          </w:divBdr>
        </w:div>
        <w:div w:id="942878232">
          <w:marLeft w:val="446"/>
          <w:marRight w:val="0"/>
          <w:marTop w:val="53"/>
          <w:marBottom w:val="120"/>
          <w:divBdr>
            <w:top w:val="none" w:sz="0" w:space="0" w:color="auto"/>
            <w:left w:val="none" w:sz="0" w:space="0" w:color="auto"/>
            <w:bottom w:val="none" w:sz="0" w:space="0" w:color="auto"/>
            <w:right w:val="none" w:sz="0" w:space="0" w:color="auto"/>
          </w:divBdr>
        </w:div>
        <w:div w:id="1971130902">
          <w:marLeft w:val="446"/>
          <w:marRight w:val="0"/>
          <w:marTop w:val="53"/>
          <w:marBottom w:val="120"/>
          <w:divBdr>
            <w:top w:val="none" w:sz="0" w:space="0" w:color="auto"/>
            <w:left w:val="none" w:sz="0" w:space="0" w:color="auto"/>
            <w:bottom w:val="none" w:sz="0" w:space="0" w:color="auto"/>
            <w:right w:val="none" w:sz="0" w:space="0" w:color="auto"/>
          </w:divBdr>
        </w:div>
        <w:div w:id="1207986607">
          <w:marLeft w:val="1166"/>
          <w:marRight w:val="0"/>
          <w:marTop w:val="53"/>
          <w:marBottom w:val="120"/>
          <w:divBdr>
            <w:top w:val="none" w:sz="0" w:space="0" w:color="auto"/>
            <w:left w:val="none" w:sz="0" w:space="0" w:color="auto"/>
            <w:bottom w:val="none" w:sz="0" w:space="0" w:color="auto"/>
            <w:right w:val="none" w:sz="0" w:space="0" w:color="auto"/>
          </w:divBdr>
        </w:div>
        <w:div w:id="423233628">
          <w:marLeft w:val="1166"/>
          <w:marRight w:val="0"/>
          <w:marTop w:val="53"/>
          <w:marBottom w:val="120"/>
          <w:divBdr>
            <w:top w:val="none" w:sz="0" w:space="0" w:color="auto"/>
            <w:left w:val="none" w:sz="0" w:space="0" w:color="auto"/>
            <w:bottom w:val="none" w:sz="0" w:space="0" w:color="auto"/>
            <w:right w:val="none" w:sz="0" w:space="0" w:color="auto"/>
          </w:divBdr>
        </w:div>
      </w:divsChild>
    </w:div>
    <w:div w:id="1852140679">
      <w:bodyDiv w:val="1"/>
      <w:marLeft w:val="0"/>
      <w:marRight w:val="0"/>
      <w:marTop w:val="0"/>
      <w:marBottom w:val="0"/>
      <w:divBdr>
        <w:top w:val="none" w:sz="0" w:space="0" w:color="auto"/>
        <w:left w:val="none" w:sz="0" w:space="0" w:color="auto"/>
        <w:bottom w:val="none" w:sz="0" w:space="0" w:color="auto"/>
        <w:right w:val="none" w:sz="0" w:space="0" w:color="auto"/>
      </w:divBdr>
    </w:div>
    <w:div w:id="19280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2.safelinks.protection.outlook.com/?url=https%3A%2F%2Fwww.who.int%2Fmedicines%2Fareas%2Fquality_safety%2Fquality_assurance%2FQAS20_851_Rev_1_Good_Reliance_Practices.pdf%3Fua%3D1&amp;data=04%7C01%7CKEvans%40bmrn.com%7Cca6534c9e8cd4b7b869108d8d3fcf8a8%7C7a1fa97c71fe4f42a823eab0b6012858%7C0%7C0%7C637492430779780936%7CUnknown%7CTWFpbGZsb3d8eyJWIjoiMC4wLjAwMDAiLCJQIjoiV2luMzIiLCJBTiI6Ik1haWwiLCJXVCI6Mn0%3D%7C1000&amp;sdata=V9mHN8jBPDFXWcYI38hEHZUv7TOTjGR4N%2FNdS2BkfM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CCD86-54EA-4424-B79C-993EAAF2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1098</Words>
  <Characters>6262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Alexion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Rare Disease Industry Working Group Submission</dc:title>
  <dc:subject/>
  <dc:creator>The Rare Disease Industry Working Group Submission</dc:creator>
  <cp:keywords>National Gene Technology Scheme, Consultation Regulation Impact Statement (CRIS)</cp:keywords>
  <dc:description/>
  <cp:lastModifiedBy>MASCHKE, Elvia</cp:lastModifiedBy>
  <cp:revision>2</cp:revision>
  <cp:lastPrinted>2021-03-10T23:41:00Z</cp:lastPrinted>
  <dcterms:created xsi:type="dcterms:W3CDTF">2021-08-31T00:47:00Z</dcterms:created>
  <dcterms:modified xsi:type="dcterms:W3CDTF">2021-08-31T00:47:00Z</dcterms:modified>
</cp:coreProperties>
</file>